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6A15C" w14:textId="77777777" w:rsidR="009F6B85" w:rsidRPr="000E605B" w:rsidRDefault="009F6B85" w:rsidP="009F6B85">
      <w:pPr>
        <w:rPr>
          <w:rFonts w:ascii="Bookman Old Style" w:hAnsi="Bookman Old Style"/>
          <w:sz w:val="28"/>
          <w:szCs w:val="28"/>
          <w:lang w:val="el-GR"/>
        </w:rPr>
      </w:pPr>
      <w:r w:rsidRPr="000E605B">
        <w:rPr>
          <w:rFonts w:ascii="Bookman Old Style" w:hAnsi="Bookman Old Style"/>
          <w:sz w:val="28"/>
          <w:szCs w:val="28"/>
          <w:lang w:val="el-GR"/>
        </w:rPr>
        <w:t>ΑΝΩΤΑΤΟ ΔΙΚΑΣΤΗΡΙΟ ΚΥΠΡΟΥ</w:t>
      </w:r>
    </w:p>
    <w:p w14:paraId="5358FE2B" w14:textId="77777777" w:rsidR="009F6B85" w:rsidRPr="000E605B" w:rsidRDefault="009F6B85" w:rsidP="009F6B85">
      <w:pPr>
        <w:rPr>
          <w:rFonts w:ascii="Bookman Old Style" w:hAnsi="Bookman Old Style"/>
          <w:sz w:val="28"/>
          <w:szCs w:val="28"/>
          <w:lang w:val="el-GR"/>
        </w:rPr>
      </w:pPr>
      <w:r w:rsidRPr="000E605B">
        <w:rPr>
          <w:rFonts w:ascii="Bookman Old Style" w:hAnsi="Bookman Old Style"/>
          <w:sz w:val="28"/>
          <w:szCs w:val="28"/>
          <w:lang w:val="el-GR"/>
        </w:rPr>
        <w:t>ΠΡΩΤΟΒΑΘΜΙΑ ΔΙΚΑΙΟΔΟΣΙΑ</w:t>
      </w:r>
    </w:p>
    <w:p w14:paraId="181B96DC" w14:textId="77777777" w:rsidR="009F6B85" w:rsidRPr="000E605B" w:rsidRDefault="009F6B85" w:rsidP="009F6B85">
      <w:pPr>
        <w:spacing w:after="0" w:line="240" w:lineRule="auto"/>
        <w:jc w:val="right"/>
        <w:rPr>
          <w:rFonts w:ascii="Bookman Old Style" w:hAnsi="Bookman Old Style"/>
          <w:sz w:val="28"/>
          <w:szCs w:val="28"/>
          <w:lang w:val="el-GR"/>
        </w:rPr>
      </w:pP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sz w:val="28"/>
          <w:szCs w:val="28"/>
          <w:lang w:val="el-GR"/>
        </w:rPr>
        <w:tab/>
      </w:r>
      <w:r w:rsidRPr="000E605B">
        <w:rPr>
          <w:rFonts w:ascii="Bookman Old Style" w:hAnsi="Bookman Old Style"/>
          <w:i/>
          <w:iCs/>
          <w:sz w:val="28"/>
          <w:szCs w:val="28"/>
          <w:lang w:val="el-GR"/>
        </w:rPr>
        <w:t xml:space="preserve">(Πολιτική Αίτηση Αρ. </w:t>
      </w:r>
      <w:r w:rsidRPr="009F6B85">
        <w:rPr>
          <w:rFonts w:ascii="Bookman Old Style" w:hAnsi="Bookman Old Style"/>
          <w:i/>
          <w:iCs/>
          <w:sz w:val="28"/>
          <w:szCs w:val="28"/>
          <w:lang w:val="el-GR"/>
        </w:rPr>
        <w:t>188</w:t>
      </w:r>
      <w:r w:rsidRPr="000E605B">
        <w:rPr>
          <w:rFonts w:ascii="Bookman Old Style" w:hAnsi="Bookman Old Style"/>
          <w:i/>
          <w:iCs/>
          <w:sz w:val="28"/>
          <w:szCs w:val="28"/>
          <w:lang w:val="el-GR"/>
        </w:rPr>
        <w:t>/202</w:t>
      </w:r>
      <w:r w:rsidRPr="009F6B85">
        <w:rPr>
          <w:rFonts w:ascii="Bookman Old Style" w:hAnsi="Bookman Old Style"/>
          <w:i/>
          <w:iCs/>
          <w:sz w:val="28"/>
          <w:szCs w:val="28"/>
          <w:lang w:val="el-GR"/>
        </w:rPr>
        <w:t>3</w:t>
      </w:r>
      <w:r w:rsidRPr="000E605B">
        <w:rPr>
          <w:rFonts w:ascii="Bookman Old Style" w:hAnsi="Bookman Old Style"/>
          <w:i/>
          <w:iCs/>
          <w:sz w:val="28"/>
          <w:szCs w:val="28"/>
          <w:lang w:val="el-GR"/>
        </w:rPr>
        <w:t>)</w:t>
      </w:r>
    </w:p>
    <w:p w14:paraId="7577243A" w14:textId="77777777" w:rsidR="009F6B85" w:rsidRPr="000E605B" w:rsidRDefault="009F6B85" w:rsidP="009F6B85">
      <w:pPr>
        <w:spacing w:after="0" w:line="240" w:lineRule="auto"/>
        <w:rPr>
          <w:rFonts w:ascii="Bookman Old Style" w:hAnsi="Bookman Old Style"/>
          <w:sz w:val="28"/>
          <w:szCs w:val="28"/>
          <w:u w:val="single"/>
          <w:lang w:val="el-GR"/>
        </w:rPr>
      </w:pPr>
    </w:p>
    <w:p w14:paraId="76B5A8A6" w14:textId="77777777" w:rsidR="009F6B85" w:rsidRDefault="009F6B85" w:rsidP="009F6B85">
      <w:pPr>
        <w:pStyle w:val="a0"/>
        <w:spacing w:line="305" w:lineRule="auto"/>
        <w:jc w:val="center"/>
        <w:rPr>
          <w:rStyle w:val="a"/>
          <w:sz w:val="28"/>
          <w:szCs w:val="28"/>
          <w:lang w:val="el-GR"/>
        </w:rPr>
      </w:pPr>
    </w:p>
    <w:p w14:paraId="3213D195" w14:textId="5D12C0A4" w:rsidR="009F6B85" w:rsidRDefault="00731F82" w:rsidP="009F6B85">
      <w:pPr>
        <w:pStyle w:val="a0"/>
        <w:spacing w:line="305" w:lineRule="auto"/>
        <w:jc w:val="center"/>
        <w:rPr>
          <w:rStyle w:val="a"/>
          <w:sz w:val="28"/>
          <w:szCs w:val="28"/>
          <w:lang w:val="el-GR"/>
        </w:rPr>
      </w:pPr>
      <w:r>
        <w:rPr>
          <w:rStyle w:val="a"/>
          <w:sz w:val="28"/>
          <w:szCs w:val="28"/>
          <w:lang w:val="el-GR"/>
        </w:rPr>
        <w:t xml:space="preserve">16 </w:t>
      </w:r>
      <w:r w:rsidR="009F6B85">
        <w:rPr>
          <w:rStyle w:val="a"/>
          <w:sz w:val="28"/>
          <w:szCs w:val="28"/>
          <w:lang w:val="el-GR"/>
        </w:rPr>
        <w:t>Φεβρουαρίου, 2024</w:t>
      </w:r>
    </w:p>
    <w:p w14:paraId="3D5BFC8C" w14:textId="77777777" w:rsidR="009F6B85" w:rsidRDefault="009F6B85" w:rsidP="009F6B85">
      <w:pPr>
        <w:pStyle w:val="a0"/>
        <w:spacing w:after="0" w:line="240" w:lineRule="auto"/>
        <w:jc w:val="center"/>
        <w:rPr>
          <w:rStyle w:val="a"/>
          <w:sz w:val="28"/>
          <w:szCs w:val="28"/>
          <w:lang w:val="el-GR"/>
        </w:rPr>
      </w:pPr>
    </w:p>
    <w:p w14:paraId="0CF46246" w14:textId="77777777" w:rsidR="009F6B85" w:rsidRDefault="009F6B85" w:rsidP="009F6B85">
      <w:pPr>
        <w:pStyle w:val="a0"/>
        <w:spacing w:line="305" w:lineRule="auto"/>
        <w:jc w:val="center"/>
        <w:rPr>
          <w:rStyle w:val="a"/>
          <w:sz w:val="28"/>
          <w:szCs w:val="28"/>
          <w:lang w:val="el-GR"/>
        </w:rPr>
      </w:pPr>
      <w:r>
        <w:rPr>
          <w:rStyle w:val="a"/>
          <w:sz w:val="28"/>
          <w:szCs w:val="28"/>
          <w:lang w:val="el-GR"/>
        </w:rPr>
        <w:t>[Ε. ΕΦΡΑΙΜ, Δ.]</w:t>
      </w:r>
    </w:p>
    <w:p w14:paraId="166AE1FC" w14:textId="77777777" w:rsidR="009F6B85" w:rsidRPr="000E605B" w:rsidRDefault="009F6B85" w:rsidP="009F6B85">
      <w:pPr>
        <w:pStyle w:val="a0"/>
        <w:spacing w:line="305" w:lineRule="auto"/>
        <w:jc w:val="both"/>
        <w:rPr>
          <w:rStyle w:val="a"/>
          <w:sz w:val="28"/>
          <w:szCs w:val="28"/>
          <w:lang w:val="el-GR"/>
        </w:rPr>
      </w:pPr>
    </w:p>
    <w:p w14:paraId="1D6C5020" w14:textId="4206D21C" w:rsidR="009F6B85" w:rsidRPr="009F6B85" w:rsidRDefault="009F6B85" w:rsidP="009F6B85">
      <w:pPr>
        <w:pStyle w:val="a0"/>
        <w:spacing w:line="305" w:lineRule="auto"/>
        <w:jc w:val="both"/>
        <w:rPr>
          <w:sz w:val="28"/>
          <w:szCs w:val="28"/>
          <w:lang w:val="el-GR"/>
        </w:rPr>
      </w:pPr>
      <w:r w:rsidRPr="009F6B85">
        <w:rPr>
          <w:rStyle w:val="a"/>
          <w:sz w:val="28"/>
          <w:szCs w:val="28"/>
          <w:lang w:val="el-GR"/>
        </w:rPr>
        <w:t xml:space="preserve">ΑΝΑΦΟΡΙΚΑ </w:t>
      </w:r>
      <w:r w:rsidRPr="00E75DBE">
        <w:rPr>
          <w:rStyle w:val="a"/>
          <w:sz w:val="28"/>
          <w:szCs w:val="28"/>
        </w:rPr>
        <w:t>ME</w:t>
      </w:r>
      <w:r w:rsidRPr="00E75DBE">
        <w:rPr>
          <w:rStyle w:val="a"/>
          <w:sz w:val="28"/>
          <w:szCs w:val="28"/>
          <w:lang w:val="el-GR"/>
        </w:rPr>
        <w:t xml:space="preserve"> </w:t>
      </w:r>
      <w:r w:rsidRPr="00E75DBE">
        <w:rPr>
          <w:rStyle w:val="a"/>
          <w:sz w:val="28"/>
          <w:szCs w:val="28"/>
        </w:rPr>
        <w:t>TO</w:t>
      </w:r>
      <w:r w:rsidRPr="00E75DBE">
        <w:rPr>
          <w:rStyle w:val="a"/>
          <w:sz w:val="28"/>
          <w:szCs w:val="28"/>
          <w:lang w:val="el-GR"/>
        </w:rPr>
        <w:t xml:space="preserve"> </w:t>
      </w:r>
      <w:r w:rsidRPr="009F6B85">
        <w:rPr>
          <w:rStyle w:val="a"/>
          <w:sz w:val="28"/>
          <w:szCs w:val="28"/>
          <w:lang w:val="el-GR"/>
        </w:rPr>
        <w:t xml:space="preserve">ΑΡΘΡΟ </w:t>
      </w:r>
      <w:r w:rsidRPr="00E75DBE">
        <w:rPr>
          <w:rStyle w:val="a"/>
          <w:sz w:val="28"/>
          <w:szCs w:val="28"/>
          <w:lang w:val="el-GR"/>
        </w:rPr>
        <w:t xml:space="preserve">155.4 </w:t>
      </w:r>
      <w:r w:rsidRPr="00E75DBE">
        <w:rPr>
          <w:rStyle w:val="a"/>
          <w:sz w:val="28"/>
          <w:szCs w:val="28"/>
        </w:rPr>
        <w:t>TOY</w:t>
      </w:r>
      <w:r w:rsidRPr="00E75DBE">
        <w:rPr>
          <w:rStyle w:val="a"/>
          <w:sz w:val="28"/>
          <w:szCs w:val="28"/>
          <w:lang w:val="el-GR"/>
        </w:rPr>
        <w:t xml:space="preserve"> </w:t>
      </w:r>
      <w:r w:rsidRPr="009F6B85">
        <w:rPr>
          <w:rStyle w:val="a"/>
          <w:sz w:val="28"/>
          <w:szCs w:val="28"/>
          <w:lang w:val="el-GR"/>
        </w:rPr>
        <w:t xml:space="preserve">ΣΥΝΤΑΓΜΑΤΟΣ </w:t>
      </w:r>
      <w:r w:rsidRPr="00E75DBE">
        <w:rPr>
          <w:rStyle w:val="a"/>
          <w:sz w:val="28"/>
          <w:szCs w:val="28"/>
        </w:rPr>
        <w:t>KAI</w:t>
      </w:r>
      <w:r w:rsidRPr="00E75DBE">
        <w:rPr>
          <w:rStyle w:val="a"/>
          <w:sz w:val="28"/>
          <w:szCs w:val="28"/>
          <w:lang w:val="el-GR"/>
        </w:rPr>
        <w:t xml:space="preserve"> </w:t>
      </w:r>
      <w:r w:rsidRPr="009F6B85">
        <w:rPr>
          <w:rStyle w:val="a"/>
          <w:sz w:val="28"/>
          <w:szCs w:val="28"/>
          <w:lang w:val="el-GR"/>
        </w:rPr>
        <w:t xml:space="preserve">ΤΑ ΑΡΘΡΑ </w:t>
      </w:r>
      <w:r w:rsidRPr="00E75DBE">
        <w:rPr>
          <w:rStyle w:val="a"/>
          <w:sz w:val="28"/>
          <w:szCs w:val="28"/>
          <w:lang w:val="el-GR"/>
        </w:rPr>
        <w:t>3</w:t>
      </w:r>
      <w:r w:rsidR="00075F6A">
        <w:rPr>
          <w:rStyle w:val="a"/>
          <w:sz w:val="28"/>
          <w:szCs w:val="28"/>
          <w:lang w:val="el-GR"/>
        </w:rPr>
        <w:t xml:space="preserve"> ΚΑΙ </w:t>
      </w:r>
      <w:r w:rsidRPr="00E75DBE">
        <w:rPr>
          <w:rStyle w:val="a"/>
          <w:sz w:val="28"/>
          <w:szCs w:val="28"/>
          <w:lang w:val="el-GR"/>
        </w:rPr>
        <w:t xml:space="preserve">9 </w:t>
      </w:r>
      <w:r w:rsidRPr="00E75DBE">
        <w:rPr>
          <w:rStyle w:val="a"/>
          <w:sz w:val="28"/>
          <w:szCs w:val="28"/>
        </w:rPr>
        <w:t>TOY</w:t>
      </w:r>
      <w:r w:rsidRPr="00E75DBE">
        <w:rPr>
          <w:rStyle w:val="a"/>
          <w:sz w:val="28"/>
          <w:szCs w:val="28"/>
          <w:lang w:val="el-GR"/>
        </w:rPr>
        <w:t xml:space="preserve"> </w:t>
      </w:r>
      <w:r w:rsidRPr="009F6B85">
        <w:rPr>
          <w:rStyle w:val="a"/>
          <w:sz w:val="28"/>
          <w:szCs w:val="28"/>
          <w:lang w:val="el-GR"/>
        </w:rPr>
        <w:t>ΠΕΡΙ ΑΠΟΝΟΜΗΣ ΤΗΣ ΔΙΚΑΙΟΣΥΝΗΣ (ΠΟΙΚΙΛΑ</w:t>
      </w:r>
      <w:r>
        <w:rPr>
          <w:rStyle w:val="a"/>
          <w:sz w:val="28"/>
          <w:szCs w:val="28"/>
          <w:lang w:val="el-GR"/>
        </w:rPr>
        <w:t>Ι</w:t>
      </w:r>
      <w:r w:rsidRPr="009F6B85">
        <w:rPr>
          <w:rStyle w:val="a"/>
          <w:sz w:val="28"/>
          <w:szCs w:val="28"/>
          <w:lang w:val="el-GR"/>
        </w:rPr>
        <w:t xml:space="preserve"> ΔΙΑΤΑΞΕΙΣ) ΝΟΜΟΥ</w:t>
      </w:r>
      <w:r>
        <w:rPr>
          <w:rStyle w:val="a"/>
          <w:sz w:val="28"/>
          <w:szCs w:val="28"/>
          <w:lang w:val="el-GR"/>
        </w:rPr>
        <w:t xml:space="preserve"> </w:t>
      </w:r>
      <w:r w:rsidRPr="009F6B85">
        <w:rPr>
          <w:rStyle w:val="a"/>
          <w:sz w:val="28"/>
          <w:szCs w:val="28"/>
          <w:lang w:val="el-GR"/>
        </w:rPr>
        <w:t>ΤΟΥ 1964 ΩΣ ΤΡΟΠΟΠΟΙΗΘΗΚΕ</w:t>
      </w:r>
    </w:p>
    <w:p w14:paraId="5F4A8B5A" w14:textId="77777777" w:rsidR="009F6B85" w:rsidRPr="009F6B85" w:rsidRDefault="009F6B85" w:rsidP="009F6B85">
      <w:pPr>
        <w:pStyle w:val="a0"/>
        <w:spacing w:before="240"/>
        <w:jc w:val="center"/>
        <w:rPr>
          <w:sz w:val="28"/>
          <w:szCs w:val="28"/>
          <w:lang w:val="el-GR"/>
        </w:rPr>
      </w:pPr>
      <w:r w:rsidRPr="009F6B85">
        <w:rPr>
          <w:rStyle w:val="a"/>
          <w:sz w:val="28"/>
          <w:szCs w:val="28"/>
          <w:lang w:val="el-GR"/>
        </w:rPr>
        <w:t>ΚΑΙ</w:t>
      </w:r>
    </w:p>
    <w:p w14:paraId="49D0F095" w14:textId="17103E5E" w:rsidR="009F6B85" w:rsidRPr="009F6B85" w:rsidRDefault="009F6B85" w:rsidP="009F6B85">
      <w:pPr>
        <w:pStyle w:val="a0"/>
        <w:spacing w:before="240"/>
        <w:jc w:val="both"/>
        <w:rPr>
          <w:sz w:val="28"/>
          <w:szCs w:val="28"/>
          <w:lang w:val="el-GR"/>
        </w:rPr>
      </w:pPr>
      <w:r w:rsidRPr="009F6B85">
        <w:rPr>
          <w:rStyle w:val="a"/>
          <w:sz w:val="28"/>
          <w:szCs w:val="28"/>
          <w:lang w:val="el-GR"/>
        </w:rPr>
        <w:t>ΑΝΑΦΟΡΙΚΑ ΜΕ ΤΗΝ ΑΙΤΗΣΗ ΤΟΥ Μ</w:t>
      </w:r>
      <w:r w:rsidR="00370B35">
        <w:rPr>
          <w:rStyle w:val="a"/>
          <w:sz w:val="28"/>
          <w:szCs w:val="28"/>
          <w:lang w:val="el-GR"/>
        </w:rPr>
        <w:t>.</w:t>
      </w:r>
      <w:r w:rsidRPr="009F6B85">
        <w:rPr>
          <w:rStyle w:val="a"/>
          <w:sz w:val="28"/>
          <w:szCs w:val="28"/>
          <w:lang w:val="el-GR"/>
        </w:rPr>
        <w:t>Π</w:t>
      </w:r>
      <w:r w:rsidR="00370B35">
        <w:rPr>
          <w:rStyle w:val="a"/>
          <w:sz w:val="28"/>
          <w:szCs w:val="28"/>
          <w:lang w:val="el-GR"/>
        </w:rPr>
        <w:t>.</w:t>
      </w:r>
      <w:r w:rsidRPr="009F6B85">
        <w:rPr>
          <w:rStyle w:val="a"/>
          <w:sz w:val="28"/>
          <w:szCs w:val="28"/>
          <w:lang w:val="el-GR"/>
        </w:rPr>
        <w:t xml:space="preserve"> ΓΙΑ ΑΔΕΙΑ ΓΙΑ</w:t>
      </w:r>
      <w:r>
        <w:rPr>
          <w:rStyle w:val="a"/>
          <w:sz w:val="28"/>
          <w:szCs w:val="28"/>
          <w:lang w:val="el-GR"/>
        </w:rPr>
        <w:t xml:space="preserve"> </w:t>
      </w:r>
      <w:r w:rsidRPr="009F6B85">
        <w:rPr>
          <w:rStyle w:val="a"/>
          <w:sz w:val="28"/>
          <w:szCs w:val="28"/>
          <w:lang w:val="el-GR"/>
        </w:rPr>
        <w:t>ΤΗΝ ΚΑΤΑΧΩΡ</w:t>
      </w:r>
      <w:r w:rsidR="00075F6A">
        <w:rPr>
          <w:rStyle w:val="a"/>
          <w:sz w:val="28"/>
          <w:szCs w:val="28"/>
          <w:lang w:val="el-GR"/>
        </w:rPr>
        <w:t>Ι</w:t>
      </w:r>
      <w:r w:rsidRPr="009F6B85">
        <w:rPr>
          <w:rStyle w:val="a"/>
          <w:sz w:val="28"/>
          <w:szCs w:val="28"/>
          <w:lang w:val="el-GR"/>
        </w:rPr>
        <w:t>Σ</w:t>
      </w:r>
      <w:r>
        <w:rPr>
          <w:rStyle w:val="a"/>
          <w:sz w:val="28"/>
          <w:szCs w:val="28"/>
          <w:lang w:val="el-GR"/>
        </w:rPr>
        <w:t>Η</w:t>
      </w:r>
      <w:r w:rsidRPr="009F6B85">
        <w:rPr>
          <w:rStyle w:val="a"/>
          <w:sz w:val="28"/>
          <w:szCs w:val="28"/>
          <w:lang w:val="el-GR"/>
        </w:rPr>
        <w:t xml:space="preserve"> ΑΙΤΗΣΗΣ ΓΙΑ ΕΚΔΟΣΗ ΠΡΟΝΟΜΙΑΚΟΥ ΕΝΤΑΛΜΑΤΟΣ</w:t>
      </w:r>
      <w:r>
        <w:rPr>
          <w:rStyle w:val="a"/>
          <w:sz w:val="28"/>
          <w:szCs w:val="28"/>
          <w:lang w:val="el-GR"/>
        </w:rPr>
        <w:t xml:space="preserve"> </w:t>
      </w:r>
      <w:r w:rsidRPr="009F6B85">
        <w:rPr>
          <w:rStyle w:val="a"/>
          <w:sz w:val="28"/>
          <w:szCs w:val="28"/>
          <w:lang w:val="el-GR"/>
        </w:rPr>
        <w:t xml:space="preserve">ΤΥΠΟΥ </w:t>
      </w:r>
      <w:r w:rsidRPr="00E75DBE">
        <w:rPr>
          <w:rStyle w:val="a"/>
          <w:sz w:val="28"/>
          <w:szCs w:val="28"/>
        </w:rPr>
        <w:t>CERTIORARI</w:t>
      </w:r>
    </w:p>
    <w:p w14:paraId="6FAA6BC1" w14:textId="77777777" w:rsidR="009F6B85" w:rsidRPr="009F6B85" w:rsidRDefault="009F6B85" w:rsidP="009F6B85">
      <w:pPr>
        <w:pStyle w:val="a0"/>
        <w:spacing w:before="240"/>
        <w:jc w:val="center"/>
        <w:rPr>
          <w:sz w:val="28"/>
          <w:szCs w:val="28"/>
          <w:lang w:val="el-GR"/>
        </w:rPr>
      </w:pPr>
      <w:r w:rsidRPr="009F6B85">
        <w:rPr>
          <w:rStyle w:val="a"/>
          <w:sz w:val="28"/>
          <w:szCs w:val="28"/>
          <w:lang w:val="el-GR"/>
        </w:rPr>
        <w:t>ΚΑΙ</w:t>
      </w:r>
    </w:p>
    <w:p w14:paraId="77F4ACF7" w14:textId="5CE25B69" w:rsidR="009F6B85" w:rsidRDefault="009F6B85" w:rsidP="009F6B85">
      <w:pPr>
        <w:pStyle w:val="a0"/>
        <w:spacing w:before="240" w:after="0" w:line="305" w:lineRule="auto"/>
        <w:jc w:val="both"/>
        <w:rPr>
          <w:rStyle w:val="a"/>
          <w:sz w:val="28"/>
          <w:szCs w:val="28"/>
          <w:lang w:val="el-GR"/>
        </w:rPr>
      </w:pPr>
      <w:r w:rsidRPr="009F6B85">
        <w:rPr>
          <w:rStyle w:val="a"/>
          <w:sz w:val="28"/>
          <w:szCs w:val="28"/>
          <w:lang w:val="el-GR"/>
        </w:rPr>
        <w:t xml:space="preserve">ΑΝΑΦΟΡΙΚΑ ΜΕ ΤΑ ΑΡΘΡΑ </w:t>
      </w:r>
      <w:r w:rsidR="00075F6A">
        <w:rPr>
          <w:rStyle w:val="a"/>
          <w:sz w:val="28"/>
          <w:szCs w:val="28"/>
          <w:lang w:val="el-GR"/>
        </w:rPr>
        <w:t>1</w:t>
      </w:r>
      <w:r w:rsidRPr="009F6B85">
        <w:rPr>
          <w:rStyle w:val="a"/>
          <w:sz w:val="28"/>
          <w:szCs w:val="28"/>
          <w:lang w:val="el-GR"/>
        </w:rPr>
        <w:t>Α, 15, 17 ΚΑΙ 35 ΤΟΥ ΣΥΝΤΑΓΜΑΤΟΣ, ΤΟ ΑΡΘΡΟ 8 ΤΗΣ ΕΣΔΑ</w:t>
      </w:r>
      <w:r>
        <w:rPr>
          <w:rStyle w:val="a"/>
          <w:sz w:val="28"/>
          <w:szCs w:val="28"/>
          <w:lang w:val="el-GR"/>
        </w:rPr>
        <w:t>,</w:t>
      </w:r>
      <w:r w:rsidRPr="009F6B85">
        <w:rPr>
          <w:rStyle w:val="a"/>
          <w:sz w:val="28"/>
          <w:szCs w:val="28"/>
          <w:lang w:val="el-GR"/>
        </w:rPr>
        <w:t xml:space="preserve"> ΤΑ ΑΡΘΡΑ 7, 8, 11 ΚΑΙ 52 ΤΟΥ ΧΑΡΤΗ ΤΩΝ ΘΕΜΕΛΙΩΔΩΝ ΔΙΚΑΙΩΜΑΤΩΝ ΤΩΝ ΑΝΘΡΩΠΙΝΩΝ ΔΙΚΑΙΩΜΑΤΩΝ, ΤΑ ΑΡΘΡΑ 3, 4, 6, 7</w:t>
      </w:r>
      <w:r w:rsidR="00075F6A">
        <w:rPr>
          <w:rStyle w:val="a"/>
          <w:sz w:val="28"/>
          <w:szCs w:val="28"/>
          <w:lang w:val="el-GR"/>
        </w:rPr>
        <w:t>,</w:t>
      </w:r>
      <w:r w:rsidRPr="009F6B85">
        <w:rPr>
          <w:rStyle w:val="a"/>
          <w:sz w:val="28"/>
          <w:szCs w:val="28"/>
          <w:lang w:val="el-GR"/>
        </w:rPr>
        <w:t xml:space="preserve"> 8, 9, 10, 11 ΚΑΙ 13 ΤΟΥ Ν. 183(Ι)/2007</w:t>
      </w:r>
      <w:r w:rsidR="00075F6A">
        <w:rPr>
          <w:rStyle w:val="a"/>
          <w:sz w:val="28"/>
          <w:szCs w:val="28"/>
          <w:lang w:val="el-GR"/>
        </w:rPr>
        <w:t xml:space="preserve">, </w:t>
      </w:r>
      <w:r w:rsidRPr="009F6B85">
        <w:rPr>
          <w:rStyle w:val="a"/>
          <w:sz w:val="28"/>
          <w:szCs w:val="28"/>
          <w:lang w:val="el-GR"/>
        </w:rPr>
        <w:t xml:space="preserve">ΤΟΥ ΠΕΡΙ ΠΡΟΣΤΑΣΙΑΣ ΤΟΥ ΑΠΟΡΡΗΤΟΥ ΤΗΣ ΙΔΙΩΤΙΚΗΣ ΕΠΙΚΟΙΝΩΝΙΑΣ </w:t>
      </w:r>
      <w:r w:rsidR="00075F6A">
        <w:rPr>
          <w:rStyle w:val="a"/>
          <w:sz w:val="28"/>
          <w:szCs w:val="28"/>
          <w:lang w:val="el-GR"/>
        </w:rPr>
        <w:t xml:space="preserve">ΝΟΜΟΥ </w:t>
      </w:r>
      <w:r w:rsidRPr="009F6B85">
        <w:rPr>
          <w:rStyle w:val="a"/>
          <w:sz w:val="28"/>
          <w:szCs w:val="28"/>
          <w:lang w:val="el-GR"/>
        </w:rPr>
        <w:t>ΤΟΥ 1996 (92(</w:t>
      </w:r>
      <w:r>
        <w:rPr>
          <w:rStyle w:val="a"/>
          <w:sz w:val="28"/>
          <w:szCs w:val="28"/>
          <w:lang w:val="el-GR"/>
        </w:rPr>
        <w:t>Ι</w:t>
      </w:r>
      <w:r w:rsidRPr="009F6B85">
        <w:rPr>
          <w:rStyle w:val="a"/>
          <w:sz w:val="28"/>
          <w:szCs w:val="28"/>
          <w:lang w:val="el-GR"/>
        </w:rPr>
        <w:t>)/1996) ΚΑΙ 2015</w:t>
      </w:r>
      <w:r w:rsidR="00075F6A">
        <w:rPr>
          <w:rStyle w:val="a"/>
          <w:sz w:val="28"/>
          <w:szCs w:val="28"/>
          <w:lang w:val="el-GR"/>
        </w:rPr>
        <w:t xml:space="preserve">, </w:t>
      </w:r>
      <w:r w:rsidRPr="009F6B85">
        <w:rPr>
          <w:rStyle w:val="a"/>
          <w:sz w:val="28"/>
          <w:szCs w:val="28"/>
          <w:lang w:val="el-GR"/>
        </w:rPr>
        <w:t>ΤΟΥ ΝΟΜΟΥ Ν. 112(Ι)/2004 ΑΡΘΡΑ</w:t>
      </w:r>
      <w:r>
        <w:rPr>
          <w:rStyle w:val="a"/>
          <w:sz w:val="28"/>
          <w:szCs w:val="28"/>
          <w:lang w:val="el-GR"/>
        </w:rPr>
        <w:t xml:space="preserve"> </w:t>
      </w:r>
      <w:r w:rsidRPr="009F6B85">
        <w:rPr>
          <w:rStyle w:val="a"/>
          <w:sz w:val="28"/>
          <w:szCs w:val="28"/>
          <w:lang w:val="el-GR"/>
        </w:rPr>
        <w:t>100(1) ΚΑΙ 100 ΚΑΙ</w:t>
      </w:r>
      <w:r>
        <w:rPr>
          <w:rStyle w:val="a"/>
          <w:sz w:val="28"/>
          <w:szCs w:val="28"/>
          <w:lang w:val="el-GR"/>
        </w:rPr>
        <w:t xml:space="preserve"> </w:t>
      </w:r>
      <w:r w:rsidR="00075F6A">
        <w:rPr>
          <w:rStyle w:val="a"/>
          <w:sz w:val="28"/>
          <w:szCs w:val="28"/>
          <w:lang w:val="el-GR"/>
        </w:rPr>
        <w:t xml:space="preserve">ΤΗΣ </w:t>
      </w:r>
      <w:r w:rsidRPr="009F6B85">
        <w:rPr>
          <w:rStyle w:val="a"/>
          <w:sz w:val="28"/>
          <w:szCs w:val="28"/>
          <w:lang w:val="el-GR"/>
        </w:rPr>
        <w:t>Κ.Δ.Π.607/2007</w:t>
      </w:r>
      <w:r>
        <w:rPr>
          <w:rStyle w:val="a"/>
          <w:sz w:val="28"/>
          <w:szCs w:val="28"/>
          <w:lang w:val="el-GR"/>
        </w:rPr>
        <w:t xml:space="preserve"> </w:t>
      </w:r>
    </w:p>
    <w:p w14:paraId="009C88A1" w14:textId="77777777" w:rsidR="009F6B85" w:rsidRDefault="009F6B85" w:rsidP="009F6B85">
      <w:pPr>
        <w:pStyle w:val="a0"/>
        <w:spacing w:after="0" w:line="305" w:lineRule="auto"/>
        <w:jc w:val="both"/>
        <w:rPr>
          <w:rStyle w:val="a"/>
          <w:sz w:val="28"/>
          <w:szCs w:val="28"/>
          <w:lang w:val="el-GR"/>
        </w:rPr>
      </w:pPr>
    </w:p>
    <w:p w14:paraId="10323693" w14:textId="77777777" w:rsidR="009F6B85" w:rsidRPr="009F6B85" w:rsidRDefault="009F6B85" w:rsidP="009F6B85">
      <w:pPr>
        <w:pStyle w:val="a0"/>
        <w:spacing w:after="0" w:line="305" w:lineRule="auto"/>
        <w:jc w:val="center"/>
        <w:rPr>
          <w:rStyle w:val="a"/>
          <w:sz w:val="28"/>
          <w:szCs w:val="28"/>
          <w:lang w:val="el-GR"/>
        </w:rPr>
      </w:pPr>
      <w:r w:rsidRPr="009F6B85">
        <w:rPr>
          <w:rStyle w:val="a"/>
          <w:sz w:val="28"/>
          <w:szCs w:val="28"/>
          <w:lang w:val="el-GR"/>
        </w:rPr>
        <w:t>ΚΑΙ</w:t>
      </w:r>
    </w:p>
    <w:p w14:paraId="71644DB6" w14:textId="77777777" w:rsidR="009F6B85" w:rsidRPr="009F6B85" w:rsidRDefault="009F6B85" w:rsidP="009F6B85">
      <w:pPr>
        <w:pStyle w:val="a0"/>
        <w:spacing w:after="0" w:line="305" w:lineRule="auto"/>
        <w:jc w:val="center"/>
        <w:rPr>
          <w:sz w:val="28"/>
          <w:szCs w:val="28"/>
          <w:lang w:val="el-GR"/>
        </w:rPr>
      </w:pPr>
    </w:p>
    <w:p w14:paraId="3006402F" w14:textId="77777777" w:rsidR="009F6B85" w:rsidRPr="009F6B85" w:rsidRDefault="009F6B85" w:rsidP="009F6B85">
      <w:pPr>
        <w:pStyle w:val="a0"/>
        <w:spacing w:after="0"/>
        <w:jc w:val="both"/>
        <w:rPr>
          <w:sz w:val="28"/>
          <w:szCs w:val="28"/>
          <w:lang w:val="el-GR"/>
        </w:rPr>
      </w:pPr>
      <w:r w:rsidRPr="009F6B85">
        <w:rPr>
          <w:rStyle w:val="a"/>
          <w:sz w:val="28"/>
          <w:szCs w:val="28"/>
          <w:lang w:val="el-GR"/>
        </w:rPr>
        <w:lastRenderedPageBreak/>
        <w:t>ΑΝΑΦΟΡΙΚΑ ΜΕ ΤΟ ΔΙΑΤΑΓΜΑ ΣΤΗΝ ΑΙΤΗΣΗ ΜΕ ΑΡ.22/2023 ΠΟΥ</w:t>
      </w:r>
      <w:r>
        <w:rPr>
          <w:rStyle w:val="a"/>
          <w:sz w:val="28"/>
          <w:szCs w:val="28"/>
          <w:lang w:val="el-GR"/>
        </w:rPr>
        <w:t xml:space="preserve"> </w:t>
      </w:r>
      <w:r w:rsidRPr="009F6B85">
        <w:rPr>
          <w:rStyle w:val="a"/>
          <w:sz w:val="28"/>
          <w:szCs w:val="28"/>
          <w:lang w:val="el-GR"/>
        </w:rPr>
        <w:t>ΕΚΔΟΘΗΚΕ ΑΠΟ ΤΟ ΕΠΑΡΧΙΑΚΟ ΔΙΚΑΣΤΗΡΙΟ ΛΑΡΝΑΚΑΣ, ΗΜΕΡ.</w:t>
      </w:r>
      <w:r>
        <w:rPr>
          <w:rStyle w:val="a"/>
          <w:sz w:val="28"/>
          <w:szCs w:val="28"/>
          <w:lang w:val="el-GR"/>
        </w:rPr>
        <w:t xml:space="preserve"> </w:t>
      </w:r>
      <w:r w:rsidRPr="009F6B85">
        <w:rPr>
          <w:rStyle w:val="a"/>
          <w:sz w:val="28"/>
          <w:szCs w:val="28"/>
          <w:lang w:val="el-GR"/>
        </w:rPr>
        <w:t>08/11/2023 ΜΕ ΤΟ ΟΠΟΙΟ ΕΠΙΤΡΑΠΗΚΕ Η ΠΡΟΣΒΑΣΗ ΚΑΙ/Η</w:t>
      </w:r>
      <w:r>
        <w:rPr>
          <w:rStyle w:val="a"/>
          <w:sz w:val="28"/>
          <w:szCs w:val="28"/>
          <w:lang w:val="el-GR"/>
        </w:rPr>
        <w:t xml:space="preserve"> </w:t>
      </w:r>
      <w:r w:rsidRPr="009F6B85">
        <w:rPr>
          <w:rStyle w:val="a"/>
          <w:sz w:val="28"/>
          <w:szCs w:val="28"/>
          <w:lang w:val="el-GR"/>
        </w:rPr>
        <w:t>ΕΠΙΘΕΩΡΗΣΗ ΚΑΙ/Η ΛΗΨΗ ΣΤΑ ΤΗΛΕΠΙΚΟΙΝΩΝΙΑΚΑ ΔΕΔΟΜΕΝΑ</w:t>
      </w:r>
      <w:r>
        <w:rPr>
          <w:rStyle w:val="a"/>
          <w:sz w:val="28"/>
          <w:szCs w:val="28"/>
          <w:lang w:val="el-GR"/>
        </w:rPr>
        <w:t xml:space="preserve"> </w:t>
      </w:r>
      <w:r w:rsidRPr="009F6B85">
        <w:rPr>
          <w:rStyle w:val="a"/>
          <w:sz w:val="28"/>
          <w:szCs w:val="28"/>
          <w:lang w:val="el-GR"/>
        </w:rPr>
        <w:t>ΤΟΥ</w:t>
      </w:r>
      <w:r>
        <w:rPr>
          <w:rStyle w:val="a"/>
          <w:sz w:val="28"/>
          <w:szCs w:val="28"/>
          <w:lang w:val="el-GR"/>
        </w:rPr>
        <w:t xml:space="preserve"> </w:t>
      </w:r>
      <w:r w:rsidRPr="009F6B85">
        <w:rPr>
          <w:rStyle w:val="a"/>
          <w:sz w:val="28"/>
          <w:szCs w:val="28"/>
          <w:lang w:val="el-GR"/>
        </w:rPr>
        <w:t>ΑΙΤΗΤΗ</w:t>
      </w:r>
    </w:p>
    <w:p w14:paraId="0BFE81A4" w14:textId="5CA07329" w:rsidR="009F6B85" w:rsidRDefault="009F6B85" w:rsidP="009F6B85">
      <w:pPr>
        <w:jc w:val="center"/>
        <w:rPr>
          <w:sz w:val="28"/>
          <w:szCs w:val="28"/>
          <w:lang w:val="el-GR"/>
        </w:rPr>
      </w:pPr>
      <w:r>
        <w:rPr>
          <w:sz w:val="28"/>
          <w:szCs w:val="28"/>
          <w:lang w:val="el-GR"/>
        </w:rPr>
        <w:t>.........................</w:t>
      </w:r>
    </w:p>
    <w:p w14:paraId="1DA8B42E" w14:textId="77777777" w:rsidR="009F6B85" w:rsidRDefault="009F6B85" w:rsidP="009F6B85">
      <w:pPr>
        <w:spacing w:after="0" w:line="240" w:lineRule="auto"/>
        <w:ind w:left="567"/>
        <w:jc w:val="both"/>
        <w:rPr>
          <w:rFonts w:ascii="Bookman Old Style" w:hAnsi="Bookman Old Style"/>
          <w:i/>
          <w:iCs/>
          <w:sz w:val="28"/>
          <w:szCs w:val="28"/>
          <w:lang w:val="el-GR"/>
        </w:rPr>
      </w:pPr>
    </w:p>
    <w:p w14:paraId="17996D63" w14:textId="68A4C8F4" w:rsidR="009F6B85" w:rsidRPr="000E605B" w:rsidRDefault="009F6B85" w:rsidP="009F6B85">
      <w:pPr>
        <w:ind w:left="567"/>
        <w:jc w:val="both"/>
        <w:rPr>
          <w:rFonts w:ascii="Bookman Old Style" w:hAnsi="Bookman Old Style"/>
          <w:i/>
          <w:iCs/>
          <w:sz w:val="28"/>
          <w:szCs w:val="28"/>
          <w:lang w:val="el-GR"/>
        </w:rPr>
      </w:pPr>
      <w:r w:rsidRPr="000E605B">
        <w:rPr>
          <w:rFonts w:ascii="Bookman Old Style" w:hAnsi="Bookman Old Style"/>
          <w:i/>
          <w:iCs/>
          <w:sz w:val="28"/>
          <w:szCs w:val="28"/>
          <w:lang w:val="el-GR"/>
        </w:rPr>
        <w:t xml:space="preserve">Χρ. </w:t>
      </w:r>
      <w:proofErr w:type="spellStart"/>
      <w:r w:rsidRPr="000E605B">
        <w:rPr>
          <w:rFonts w:ascii="Bookman Old Style" w:hAnsi="Bookman Old Style"/>
          <w:i/>
          <w:iCs/>
          <w:sz w:val="28"/>
          <w:szCs w:val="28"/>
          <w:lang w:val="el-GR"/>
        </w:rPr>
        <w:t>Πουτζιουρής</w:t>
      </w:r>
      <w:proofErr w:type="spellEnd"/>
      <w:r w:rsidRPr="000E605B">
        <w:rPr>
          <w:rFonts w:ascii="Bookman Old Style" w:hAnsi="Bookman Old Style"/>
          <w:i/>
          <w:iCs/>
          <w:sz w:val="28"/>
          <w:szCs w:val="28"/>
          <w:lang w:val="el-GR"/>
        </w:rPr>
        <w:t xml:space="preserve"> για Χρίστος </w:t>
      </w:r>
      <w:proofErr w:type="spellStart"/>
      <w:r w:rsidRPr="000E605B">
        <w:rPr>
          <w:rFonts w:ascii="Bookman Old Style" w:hAnsi="Bookman Old Style"/>
          <w:i/>
          <w:iCs/>
          <w:sz w:val="28"/>
          <w:szCs w:val="28"/>
          <w:lang w:val="el-GR"/>
        </w:rPr>
        <w:t>Πουτζιουρής</w:t>
      </w:r>
      <w:proofErr w:type="spellEnd"/>
      <w:r w:rsidRPr="000E605B">
        <w:rPr>
          <w:rFonts w:ascii="Bookman Old Style" w:hAnsi="Bookman Old Style"/>
          <w:i/>
          <w:iCs/>
          <w:sz w:val="28"/>
          <w:szCs w:val="28"/>
          <w:lang w:val="el-GR"/>
        </w:rPr>
        <w:t xml:space="preserve"> &amp; Συνεργάτες ΔΕΠΕ μαζί με Κ. </w:t>
      </w:r>
      <w:proofErr w:type="spellStart"/>
      <w:r w:rsidRPr="000E605B">
        <w:rPr>
          <w:rFonts w:ascii="Bookman Old Style" w:hAnsi="Bookman Old Style"/>
          <w:i/>
          <w:iCs/>
          <w:sz w:val="28"/>
          <w:szCs w:val="28"/>
          <w:lang w:val="el-GR"/>
        </w:rPr>
        <w:t>Σιαηλή</w:t>
      </w:r>
      <w:proofErr w:type="spellEnd"/>
      <w:r w:rsidRPr="000E605B">
        <w:rPr>
          <w:rFonts w:ascii="Bookman Old Style" w:hAnsi="Bookman Old Style"/>
          <w:i/>
          <w:iCs/>
          <w:sz w:val="28"/>
          <w:szCs w:val="28"/>
          <w:lang w:val="el-GR"/>
        </w:rPr>
        <w:t xml:space="preserve"> για </w:t>
      </w:r>
      <w:proofErr w:type="spellStart"/>
      <w:r w:rsidRPr="000E605B">
        <w:rPr>
          <w:rFonts w:ascii="Bookman Old Style" w:hAnsi="Bookman Old Style"/>
          <w:i/>
          <w:iCs/>
          <w:sz w:val="28"/>
          <w:szCs w:val="28"/>
          <w:lang w:val="el-GR"/>
        </w:rPr>
        <w:t>Σιαηλής</w:t>
      </w:r>
      <w:proofErr w:type="spellEnd"/>
      <w:r w:rsidRPr="000E605B">
        <w:rPr>
          <w:rFonts w:ascii="Bookman Old Style" w:hAnsi="Bookman Old Style"/>
          <w:i/>
          <w:iCs/>
          <w:sz w:val="28"/>
          <w:szCs w:val="28"/>
          <w:lang w:val="el-GR"/>
        </w:rPr>
        <w:t xml:space="preserve"> &amp; </w:t>
      </w:r>
      <w:proofErr w:type="spellStart"/>
      <w:r w:rsidRPr="000E605B">
        <w:rPr>
          <w:rFonts w:ascii="Bookman Old Style" w:hAnsi="Bookman Old Style"/>
          <w:i/>
          <w:iCs/>
          <w:sz w:val="28"/>
          <w:szCs w:val="28"/>
          <w:lang w:val="el-GR"/>
        </w:rPr>
        <w:t>Σιαηλή</w:t>
      </w:r>
      <w:proofErr w:type="spellEnd"/>
      <w:r w:rsidRPr="000E605B">
        <w:rPr>
          <w:rFonts w:ascii="Bookman Old Style" w:hAnsi="Bookman Old Style"/>
          <w:i/>
          <w:iCs/>
          <w:sz w:val="28"/>
          <w:szCs w:val="28"/>
          <w:lang w:val="el-GR"/>
        </w:rPr>
        <w:t xml:space="preserve"> ΔΕΠΕ</w:t>
      </w:r>
      <w:r w:rsidR="00DF03E0">
        <w:rPr>
          <w:rFonts w:ascii="Bookman Old Style" w:hAnsi="Bookman Old Style"/>
          <w:i/>
          <w:iCs/>
          <w:sz w:val="28"/>
          <w:szCs w:val="28"/>
          <w:lang w:val="el-GR"/>
        </w:rPr>
        <w:t xml:space="preserve"> και</w:t>
      </w:r>
      <w:r w:rsidRPr="000E605B">
        <w:rPr>
          <w:rFonts w:ascii="Bookman Old Style" w:hAnsi="Bookman Old Style"/>
          <w:i/>
          <w:iCs/>
          <w:sz w:val="28"/>
          <w:szCs w:val="28"/>
          <w:lang w:val="el-GR"/>
        </w:rPr>
        <w:t xml:space="preserve">  </w:t>
      </w:r>
      <w:r>
        <w:rPr>
          <w:rFonts w:ascii="Bookman Old Style" w:hAnsi="Bookman Old Style"/>
          <w:i/>
          <w:iCs/>
          <w:sz w:val="28"/>
          <w:szCs w:val="28"/>
          <w:lang w:val="el-GR"/>
        </w:rPr>
        <w:t xml:space="preserve">Α. </w:t>
      </w:r>
      <w:proofErr w:type="spellStart"/>
      <w:r w:rsidRPr="000E605B">
        <w:rPr>
          <w:rFonts w:ascii="Bookman Old Style" w:hAnsi="Bookman Old Style"/>
          <w:i/>
          <w:iCs/>
          <w:sz w:val="28"/>
          <w:szCs w:val="28"/>
          <w:lang w:val="el-GR"/>
        </w:rPr>
        <w:t>Γιαλελή</w:t>
      </w:r>
      <w:proofErr w:type="spellEnd"/>
      <w:r w:rsidRPr="000E605B">
        <w:rPr>
          <w:rFonts w:ascii="Bookman Old Style" w:hAnsi="Bookman Old Style"/>
          <w:i/>
          <w:iCs/>
          <w:sz w:val="28"/>
          <w:szCs w:val="28"/>
          <w:lang w:val="el-GR"/>
        </w:rPr>
        <w:t xml:space="preserve">, για </w:t>
      </w:r>
      <w:r w:rsidRPr="000E605B">
        <w:rPr>
          <w:rFonts w:ascii="Bookman Old Style" w:hAnsi="Bookman Old Style"/>
          <w:i/>
          <w:iCs/>
          <w:sz w:val="28"/>
          <w:szCs w:val="28"/>
        </w:rPr>
        <w:t>Kampouri</w:t>
      </w:r>
      <w:r w:rsidRPr="000E605B">
        <w:rPr>
          <w:rFonts w:ascii="Bookman Old Style" w:hAnsi="Bookman Old Style"/>
          <w:i/>
          <w:iCs/>
          <w:sz w:val="28"/>
          <w:szCs w:val="28"/>
          <w:lang w:val="el-GR"/>
        </w:rPr>
        <w:t xml:space="preserve">, </w:t>
      </w:r>
      <w:proofErr w:type="spellStart"/>
      <w:r w:rsidRPr="000E605B">
        <w:rPr>
          <w:rFonts w:ascii="Bookman Old Style" w:hAnsi="Bookman Old Style"/>
          <w:i/>
          <w:iCs/>
          <w:sz w:val="28"/>
          <w:szCs w:val="28"/>
        </w:rPr>
        <w:t>Gialeli</w:t>
      </w:r>
      <w:proofErr w:type="spellEnd"/>
      <w:r w:rsidRPr="000E605B">
        <w:rPr>
          <w:rFonts w:ascii="Bookman Old Style" w:hAnsi="Bookman Old Style"/>
          <w:i/>
          <w:iCs/>
          <w:sz w:val="28"/>
          <w:szCs w:val="28"/>
          <w:lang w:val="el-GR"/>
        </w:rPr>
        <w:t xml:space="preserve"> &amp; </w:t>
      </w:r>
      <w:r w:rsidRPr="000E605B">
        <w:rPr>
          <w:rFonts w:ascii="Bookman Old Style" w:hAnsi="Bookman Old Style"/>
          <w:i/>
          <w:iCs/>
          <w:sz w:val="28"/>
          <w:szCs w:val="28"/>
        </w:rPr>
        <w:t>Co</w:t>
      </w:r>
      <w:r w:rsidRPr="000E605B">
        <w:rPr>
          <w:rFonts w:ascii="Bookman Old Style" w:hAnsi="Bookman Old Style"/>
          <w:i/>
          <w:iCs/>
          <w:sz w:val="28"/>
          <w:szCs w:val="28"/>
          <w:lang w:val="el-GR"/>
        </w:rPr>
        <w:t>.</w:t>
      </w:r>
    </w:p>
    <w:p w14:paraId="740635B2" w14:textId="77777777" w:rsidR="009F6B85" w:rsidRDefault="009F6B85" w:rsidP="009F6B85">
      <w:pPr>
        <w:spacing w:line="360" w:lineRule="auto"/>
        <w:jc w:val="center"/>
        <w:rPr>
          <w:rFonts w:ascii="Bookman Old Style" w:eastAsia="Times New Roman" w:hAnsi="Bookman Old Style"/>
          <w:b/>
          <w:bCs/>
          <w:color w:val="000000"/>
          <w:sz w:val="28"/>
          <w:szCs w:val="28"/>
          <w:u w:val="single"/>
          <w:lang w:val="el-GR"/>
        </w:rPr>
      </w:pPr>
    </w:p>
    <w:p w14:paraId="2D46D97D" w14:textId="77777777" w:rsidR="009F6B85" w:rsidRDefault="009F6B85" w:rsidP="009F6B85">
      <w:pPr>
        <w:spacing w:line="360" w:lineRule="auto"/>
        <w:jc w:val="center"/>
        <w:rPr>
          <w:rFonts w:ascii="Bookman Old Style" w:eastAsia="Times New Roman" w:hAnsi="Bookman Old Style"/>
          <w:b/>
          <w:bCs/>
          <w:color w:val="000000"/>
          <w:sz w:val="28"/>
          <w:szCs w:val="28"/>
          <w:u w:val="single"/>
          <w:lang w:val="el-GR"/>
        </w:rPr>
      </w:pPr>
      <w:r w:rsidRPr="0083722D">
        <w:rPr>
          <w:rFonts w:ascii="Bookman Old Style" w:eastAsia="Times New Roman" w:hAnsi="Bookman Old Style"/>
          <w:b/>
          <w:bCs/>
          <w:color w:val="000000"/>
          <w:sz w:val="28"/>
          <w:szCs w:val="28"/>
          <w:u w:val="single"/>
          <w:lang w:val="el-GR"/>
        </w:rPr>
        <w:t>Α Π Ο Φ Α Σ Η</w:t>
      </w:r>
    </w:p>
    <w:p w14:paraId="12125293" w14:textId="77777777" w:rsidR="009F6B85" w:rsidRPr="0083722D" w:rsidRDefault="009F6B85" w:rsidP="009F6B85">
      <w:pPr>
        <w:spacing w:after="0" w:line="240" w:lineRule="auto"/>
        <w:jc w:val="center"/>
        <w:rPr>
          <w:rFonts w:ascii="Bookman Old Style" w:eastAsia="Times New Roman" w:hAnsi="Bookman Old Style"/>
          <w:b/>
          <w:bCs/>
          <w:color w:val="000000"/>
          <w:sz w:val="28"/>
          <w:szCs w:val="28"/>
          <w:u w:val="single"/>
          <w:lang w:val="el-GR"/>
        </w:rPr>
      </w:pPr>
    </w:p>
    <w:p w14:paraId="3099A7EE" w14:textId="11B8921C" w:rsidR="004F1C86" w:rsidRDefault="009F6B85" w:rsidP="009F6B85">
      <w:pPr>
        <w:tabs>
          <w:tab w:val="left" w:pos="567"/>
        </w:tabs>
        <w:spacing w:line="480" w:lineRule="auto"/>
        <w:ind w:firstLine="567"/>
        <w:jc w:val="both"/>
        <w:rPr>
          <w:rFonts w:ascii="Bookman Old Style" w:hAnsi="Bookman Old Style"/>
          <w:sz w:val="28"/>
          <w:szCs w:val="28"/>
          <w:lang w:val="el-GR"/>
        </w:rPr>
      </w:pPr>
      <w:r w:rsidRPr="0083722D">
        <w:rPr>
          <w:rFonts w:ascii="Bookman Old Style" w:eastAsia="Times New Roman" w:hAnsi="Bookman Old Style"/>
          <w:b/>
          <w:bCs/>
          <w:color w:val="000000"/>
          <w:sz w:val="28"/>
          <w:szCs w:val="28"/>
          <w:lang w:val="el-GR"/>
        </w:rPr>
        <w:tab/>
      </w:r>
      <w:r>
        <w:rPr>
          <w:rFonts w:ascii="Bookman Old Style" w:eastAsia="Times New Roman" w:hAnsi="Bookman Old Style"/>
          <w:b/>
          <w:bCs/>
          <w:color w:val="000000"/>
          <w:sz w:val="28"/>
          <w:szCs w:val="28"/>
          <w:lang w:val="el-GR"/>
        </w:rPr>
        <w:t xml:space="preserve">ΕΦΡΑΙΜ, </w:t>
      </w:r>
      <w:r w:rsidRPr="0083722D">
        <w:rPr>
          <w:rFonts w:ascii="Bookman Old Style" w:eastAsia="Times New Roman" w:hAnsi="Bookman Old Style"/>
          <w:b/>
          <w:bCs/>
          <w:color w:val="000000"/>
          <w:sz w:val="28"/>
          <w:szCs w:val="28"/>
          <w:lang w:val="el-GR"/>
        </w:rPr>
        <w:t>Δ.</w:t>
      </w:r>
      <w:r w:rsidRPr="0083722D">
        <w:rPr>
          <w:rFonts w:ascii="Bookman Old Style" w:eastAsia="Times New Roman" w:hAnsi="Bookman Old Style"/>
          <w:color w:val="000000"/>
          <w:sz w:val="28"/>
          <w:szCs w:val="28"/>
          <w:lang w:val="el-GR"/>
        </w:rPr>
        <w:t>:</w:t>
      </w:r>
      <w:r>
        <w:rPr>
          <w:rFonts w:ascii="Bookman Old Style" w:eastAsia="Times New Roman" w:hAnsi="Bookman Old Style"/>
          <w:color w:val="000000"/>
          <w:sz w:val="28"/>
          <w:szCs w:val="28"/>
          <w:lang w:val="el-GR"/>
        </w:rPr>
        <w:t xml:space="preserve"> </w:t>
      </w:r>
      <w:r w:rsidR="00545EF2">
        <w:rPr>
          <w:rFonts w:ascii="Bookman Old Style" w:hAnsi="Bookman Old Style"/>
          <w:sz w:val="28"/>
          <w:szCs w:val="28"/>
          <w:lang w:val="el-GR"/>
        </w:rPr>
        <w:t xml:space="preserve">Με την παρούσα Αίτηση ο Αιτητής ζητά άδεια για την καταχώριση δια κλήσεως αίτησης για την έκδοση προνομιακού εντάλματος </w:t>
      </w:r>
      <w:r w:rsidR="00545EF2">
        <w:rPr>
          <w:rFonts w:ascii="Bookman Old Style" w:hAnsi="Bookman Old Style"/>
          <w:sz w:val="28"/>
          <w:szCs w:val="28"/>
        </w:rPr>
        <w:t>Certiorari</w:t>
      </w:r>
      <w:r w:rsidR="00545EF2" w:rsidRPr="00545EF2">
        <w:rPr>
          <w:rFonts w:ascii="Bookman Old Style" w:hAnsi="Bookman Old Style"/>
          <w:sz w:val="28"/>
          <w:szCs w:val="28"/>
          <w:lang w:val="el-GR"/>
        </w:rPr>
        <w:t xml:space="preserve"> </w:t>
      </w:r>
      <w:r w:rsidR="00545EF2">
        <w:rPr>
          <w:rFonts w:ascii="Bookman Old Style" w:hAnsi="Bookman Old Style"/>
          <w:sz w:val="28"/>
          <w:szCs w:val="28"/>
          <w:lang w:val="el-GR"/>
        </w:rPr>
        <w:t xml:space="preserve">αναφορικά με το διάταγμα πρόσβασης σε καταγεγραμμένο περιεχόμενο ιδιωτικής επικοινωνίας </w:t>
      </w:r>
      <w:proofErr w:type="spellStart"/>
      <w:r w:rsidR="00545EF2">
        <w:rPr>
          <w:rFonts w:ascii="Bookman Old Style" w:hAnsi="Bookman Old Style"/>
          <w:sz w:val="28"/>
          <w:szCs w:val="28"/>
          <w:lang w:val="el-GR"/>
        </w:rPr>
        <w:t>ημερ</w:t>
      </w:r>
      <w:proofErr w:type="spellEnd"/>
      <w:r w:rsidR="00545EF2">
        <w:rPr>
          <w:rFonts w:ascii="Bookman Old Style" w:hAnsi="Bookman Old Style"/>
          <w:sz w:val="28"/>
          <w:szCs w:val="28"/>
          <w:lang w:val="el-GR"/>
        </w:rPr>
        <w:t xml:space="preserve">. 18.11.2023 το οποίο εκδόθηκε από το Επαρχιακό Δικαστήριο Λάρνακας. </w:t>
      </w:r>
    </w:p>
    <w:p w14:paraId="5862C421" w14:textId="707D37EF" w:rsidR="000D5E5C" w:rsidRDefault="001722E3" w:rsidP="009F6B85">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Οι λόγοι επί των οποίων στηρίζεται η Αίτηση συνοψίζονται ως ακολούθως</w:t>
      </w:r>
      <w:r w:rsidRPr="001722E3">
        <w:rPr>
          <w:rFonts w:ascii="Bookman Old Style" w:hAnsi="Bookman Old Style"/>
          <w:sz w:val="28"/>
          <w:szCs w:val="28"/>
          <w:lang w:val="el-GR"/>
        </w:rPr>
        <w:t>:</w:t>
      </w:r>
    </w:p>
    <w:p w14:paraId="73FE1010" w14:textId="3C3D0B54" w:rsidR="003A5A94" w:rsidRPr="00FC3A68" w:rsidRDefault="003A5A94" w:rsidP="009F6B85">
      <w:pPr>
        <w:pStyle w:val="ListParagraph"/>
        <w:numPr>
          <w:ilvl w:val="0"/>
          <w:numId w:val="2"/>
        </w:numPr>
        <w:spacing w:after="100" w:afterAutospacing="1" w:line="360" w:lineRule="auto"/>
        <w:ind w:left="1134" w:hanging="567"/>
        <w:jc w:val="both"/>
        <w:rPr>
          <w:rFonts w:ascii="Bookman Old Style" w:hAnsi="Bookman Old Style"/>
          <w:sz w:val="28"/>
          <w:szCs w:val="28"/>
          <w:lang w:val="el-GR"/>
        </w:rPr>
      </w:pPr>
      <w:r>
        <w:rPr>
          <w:rFonts w:ascii="Bookman Old Style" w:hAnsi="Bookman Old Style"/>
          <w:sz w:val="28"/>
          <w:szCs w:val="28"/>
          <w:lang w:val="el-GR"/>
        </w:rPr>
        <w:t xml:space="preserve">Το Επαρχιακό Δικαστήριο στερείτο δικαιοδοσίας να εκδώσει το προσβαλλόμενο διάταγμα καθότι η ένορκη δήλωση που συνόδευε την αίτηση δεν αποκαλύπτει εύλογη υποψία σύνδεσης </w:t>
      </w:r>
      <w:r>
        <w:rPr>
          <w:rFonts w:ascii="Bookman Old Style" w:hAnsi="Bookman Old Style"/>
          <w:sz w:val="28"/>
          <w:szCs w:val="28"/>
          <w:lang w:val="el-GR"/>
        </w:rPr>
        <w:lastRenderedPageBreak/>
        <w:t>τ</w:t>
      </w:r>
      <w:r w:rsidR="001F4A8A">
        <w:rPr>
          <w:rFonts w:ascii="Bookman Old Style" w:hAnsi="Bookman Old Style"/>
          <w:sz w:val="28"/>
          <w:szCs w:val="28"/>
          <w:lang w:val="el-GR"/>
        </w:rPr>
        <w:t>ου</w:t>
      </w:r>
      <w:r>
        <w:rPr>
          <w:rFonts w:ascii="Bookman Old Style" w:hAnsi="Bookman Old Style"/>
          <w:sz w:val="28"/>
          <w:szCs w:val="28"/>
          <w:lang w:val="el-GR"/>
        </w:rPr>
        <w:t xml:space="preserve"> Αιτητ</w:t>
      </w:r>
      <w:r w:rsidR="001F4A8A">
        <w:rPr>
          <w:rFonts w:ascii="Bookman Old Style" w:hAnsi="Bookman Old Style"/>
          <w:sz w:val="28"/>
          <w:szCs w:val="28"/>
          <w:lang w:val="el-GR"/>
        </w:rPr>
        <w:t>ή</w:t>
      </w:r>
      <w:r>
        <w:rPr>
          <w:rFonts w:ascii="Bookman Old Style" w:hAnsi="Bookman Old Style"/>
          <w:sz w:val="28"/>
          <w:szCs w:val="28"/>
          <w:lang w:val="el-GR"/>
        </w:rPr>
        <w:t xml:space="preserve"> με τα υπό </w:t>
      </w:r>
      <w:r w:rsidR="001F4A8A">
        <w:rPr>
          <w:rFonts w:ascii="Bookman Old Style" w:hAnsi="Bookman Old Style"/>
          <w:sz w:val="28"/>
          <w:szCs w:val="28"/>
          <w:lang w:val="el-GR"/>
        </w:rPr>
        <w:t>διερεύνηση</w:t>
      </w:r>
      <w:r>
        <w:rPr>
          <w:rFonts w:ascii="Bookman Old Style" w:hAnsi="Bookman Old Style"/>
          <w:sz w:val="28"/>
          <w:szCs w:val="28"/>
          <w:lang w:val="el-GR"/>
        </w:rPr>
        <w:t xml:space="preserve"> αδικήματα και ή με συγκεκριμένη ιδιωτική επικοινωνία.</w:t>
      </w:r>
    </w:p>
    <w:p w14:paraId="74BB2959" w14:textId="77777777" w:rsidR="003A5A94" w:rsidRDefault="003A5A94" w:rsidP="009F6B85">
      <w:pPr>
        <w:pStyle w:val="ListParagraph"/>
        <w:spacing w:after="120" w:line="120" w:lineRule="auto"/>
        <w:ind w:left="992" w:hanging="426"/>
        <w:jc w:val="both"/>
        <w:rPr>
          <w:rFonts w:ascii="Bookman Old Style" w:hAnsi="Bookman Old Style"/>
          <w:sz w:val="28"/>
          <w:szCs w:val="28"/>
          <w:lang w:val="el-GR"/>
        </w:rPr>
      </w:pPr>
    </w:p>
    <w:p w14:paraId="4B2E3F21" w14:textId="1D705872" w:rsidR="003A5A94" w:rsidRDefault="003A5A94" w:rsidP="009F6B85">
      <w:pPr>
        <w:pStyle w:val="ListParagraph"/>
        <w:numPr>
          <w:ilvl w:val="0"/>
          <w:numId w:val="2"/>
        </w:numPr>
        <w:spacing w:after="120" w:line="360" w:lineRule="auto"/>
        <w:ind w:left="1134" w:hanging="567"/>
        <w:jc w:val="both"/>
        <w:rPr>
          <w:rFonts w:ascii="Bookman Old Style" w:hAnsi="Bookman Old Style"/>
          <w:sz w:val="28"/>
          <w:szCs w:val="28"/>
          <w:lang w:val="el-GR"/>
        </w:rPr>
      </w:pPr>
      <w:r>
        <w:rPr>
          <w:rFonts w:ascii="Bookman Old Style" w:hAnsi="Bookman Old Style"/>
          <w:sz w:val="28"/>
          <w:szCs w:val="28"/>
          <w:lang w:val="el-GR"/>
        </w:rPr>
        <w:t>Το προσβαλλόμενο διάταγμα πάσχει από έκδηλη πλάνη νόμου καθότι δεν καταγράφεται σε αυτό οποιαδήποτε εύλογη υποψία σύνδεσης τ</w:t>
      </w:r>
      <w:r w:rsidR="001F4A8A">
        <w:rPr>
          <w:rFonts w:ascii="Bookman Old Style" w:hAnsi="Bookman Old Style"/>
          <w:sz w:val="28"/>
          <w:szCs w:val="28"/>
          <w:lang w:val="el-GR"/>
        </w:rPr>
        <w:t>ου</w:t>
      </w:r>
      <w:r>
        <w:rPr>
          <w:rFonts w:ascii="Bookman Old Style" w:hAnsi="Bookman Old Style"/>
          <w:sz w:val="28"/>
          <w:szCs w:val="28"/>
          <w:lang w:val="el-GR"/>
        </w:rPr>
        <w:t xml:space="preserve"> Αιτητ</w:t>
      </w:r>
      <w:r w:rsidR="001F4A8A">
        <w:rPr>
          <w:rFonts w:ascii="Bookman Old Style" w:hAnsi="Bookman Old Style"/>
          <w:sz w:val="28"/>
          <w:szCs w:val="28"/>
          <w:lang w:val="el-GR"/>
        </w:rPr>
        <w:t>ή</w:t>
      </w:r>
      <w:r>
        <w:rPr>
          <w:rFonts w:ascii="Bookman Old Style" w:hAnsi="Bookman Old Style"/>
          <w:sz w:val="28"/>
          <w:szCs w:val="28"/>
          <w:lang w:val="el-GR"/>
        </w:rPr>
        <w:t xml:space="preserve"> με τα υπό διερεύνηση αδικήματα και ή με συγκεκριμένη ιδιωτική επικοινωνία.</w:t>
      </w:r>
    </w:p>
    <w:p w14:paraId="4838C24F" w14:textId="77777777" w:rsidR="003A5A94" w:rsidRPr="00BC42D6" w:rsidRDefault="003A5A94" w:rsidP="009F6B85">
      <w:pPr>
        <w:pStyle w:val="ListParagraph"/>
        <w:spacing w:after="0" w:line="120" w:lineRule="auto"/>
        <w:ind w:hanging="426"/>
        <w:rPr>
          <w:rFonts w:ascii="Bookman Old Style" w:hAnsi="Bookman Old Style"/>
          <w:sz w:val="28"/>
          <w:szCs w:val="28"/>
          <w:lang w:val="el-GR"/>
        </w:rPr>
      </w:pPr>
    </w:p>
    <w:p w14:paraId="44832B10" w14:textId="01C3DF7D" w:rsidR="003A5A94" w:rsidRDefault="003A5A94" w:rsidP="009F6B85">
      <w:pPr>
        <w:pStyle w:val="ListParagraph"/>
        <w:numPr>
          <w:ilvl w:val="0"/>
          <w:numId w:val="2"/>
        </w:numPr>
        <w:tabs>
          <w:tab w:val="left" w:pos="1134"/>
        </w:tabs>
        <w:spacing w:before="240" w:after="120" w:line="360" w:lineRule="auto"/>
        <w:ind w:hanging="513"/>
        <w:jc w:val="both"/>
        <w:rPr>
          <w:rFonts w:ascii="Bookman Old Style" w:hAnsi="Bookman Old Style"/>
          <w:sz w:val="28"/>
          <w:szCs w:val="28"/>
          <w:lang w:val="el-GR"/>
        </w:rPr>
      </w:pPr>
      <w:r>
        <w:rPr>
          <w:rFonts w:ascii="Bookman Old Style" w:hAnsi="Bookman Old Style"/>
          <w:sz w:val="28"/>
          <w:szCs w:val="28"/>
          <w:lang w:val="el-GR"/>
        </w:rPr>
        <w:t xml:space="preserve">Το Επαρχιακό Δικαστήριο στερείτο δικαιοδοσίας να εκδώσει το προσβαλλόμενο διάταγμα καθότι η αίτηση στηρίχθηκε ρητά και ή </w:t>
      </w:r>
      <w:proofErr w:type="spellStart"/>
      <w:r>
        <w:rPr>
          <w:rFonts w:ascii="Bookman Old Style" w:hAnsi="Bookman Old Style"/>
          <w:sz w:val="28"/>
          <w:szCs w:val="28"/>
          <w:lang w:val="el-GR"/>
        </w:rPr>
        <w:t>εξυπακουόμενα</w:t>
      </w:r>
      <w:proofErr w:type="spellEnd"/>
      <w:r>
        <w:rPr>
          <w:rFonts w:ascii="Bookman Old Style" w:hAnsi="Bookman Old Style"/>
          <w:sz w:val="28"/>
          <w:szCs w:val="28"/>
          <w:lang w:val="el-GR"/>
        </w:rPr>
        <w:t xml:space="preserve"> στα </w:t>
      </w:r>
      <w:r w:rsidRPr="003B633A">
        <w:rPr>
          <w:rFonts w:ascii="Bookman Old Style" w:hAnsi="Bookman Old Style"/>
          <w:b/>
          <w:bCs/>
          <w:i/>
          <w:iCs/>
          <w:sz w:val="28"/>
          <w:szCs w:val="28"/>
          <w:lang w:val="el-GR"/>
        </w:rPr>
        <w:t>άρθρα 6-11</w:t>
      </w:r>
      <w:r>
        <w:rPr>
          <w:rFonts w:ascii="Bookman Old Style" w:hAnsi="Bookman Old Style"/>
          <w:sz w:val="28"/>
          <w:szCs w:val="28"/>
          <w:lang w:val="el-GR"/>
        </w:rPr>
        <w:t xml:space="preserve"> του </w:t>
      </w:r>
      <w:r w:rsidRPr="003B633A">
        <w:rPr>
          <w:rFonts w:ascii="Bookman Old Style" w:hAnsi="Bookman Old Style"/>
          <w:b/>
          <w:bCs/>
          <w:i/>
          <w:iCs/>
          <w:sz w:val="28"/>
          <w:szCs w:val="28"/>
          <w:lang w:val="el-GR"/>
        </w:rPr>
        <w:t>Ν.183(Ι)/2007</w:t>
      </w:r>
      <w:r>
        <w:rPr>
          <w:rFonts w:ascii="Bookman Old Style" w:hAnsi="Bookman Old Style"/>
          <w:sz w:val="28"/>
          <w:szCs w:val="28"/>
          <w:lang w:val="el-GR"/>
        </w:rPr>
        <w:t xml:space="preserve">, ο οποίος συγκρούεται με το εφαρμοστέο Ευρωπαϊκό δίκαιο και τα </w:t>
      </w:r>
      <w:r w:rsidRPr="003B633A">
        <w:rPr>
          <w:rFonts w:ascii="Bookman Old Style" w:hAnsi="Bookman Old Style"/>
          <w:b/>
          <w:bCs/>
          <w:i/>
          <w:iCs/>
          <w:sz w:val="28"/>
          <w:szCs w:val="28"/>
          <w:lang w:val="el-GR"/>
        </w:rPr>
        <w:t>Άρθρα 15, 17</w:t>
      </w:r>
      <w:r>
        <w:rPr>
          <w:rFonts w:ascii="Bookman Old Style" w:hAnsi="Bookman Old Style"/>
          <w:sz w:val="28"/>
          <w:szCs w:val="28"/>
          <w:lang w:val="el-GR"/>
        </w:rPr>
        <w:t xml:space="preserve"> και </w:t>
      </w:r>
      <w:r w:rsidRPr="003B633A">
        <w:rPr>
          <w:rFonts w:ascii="Bookman Old Style" w:hAnsi="Bookman Old Style"/>
          <w:b/>
          <w:bCs/>
          <w:i/>
          <w:iCs/>
          <w:sz w:val="28"/>
          <w:szCs w:val="28"/>
          <w:lang w:val="el-GR"/>
        </w:rPr>
        <w:t>35</w:t>
      </w:r>
      <w:r>
        <w:rPr>
          <w:rFonts w:ascii="Bookman Old Style" w:hAnsi="Bookman Old Style"/>
          <w:sz w:val="28"/>
          <w:szCs w:val="28"/>
          <w:lang w:val="el-GR"/>
        </w:rPr>
        <w:t xml:space="preserve"> του </w:t>
      </w:r>
      <w:r w:rsidRPr="003B633A">
        <w:rPr>
          <w:rFonts w:ascii="Bookman Old Style" w:hAnsi="Bookman Old Style"/>
          <w:b/>
          <w:bCs/>
          <w:i/>
          <w:iCs/>
          <w:sz w:val="28"/>
          <w:szCs w:val="28"/>
          <w:lang w:val="el-GR"/>
        </w:rPr>
        <w:t>Συντάγματος</w:t>
      </w:r>
      <w:r>
        <w:rPr>
          <w:rFonts w:ascii="Bookman Old Style" w:hAnsi="Bookman Old Style"/>
          <w:sz w:val="28"/>
          <w:szCs w:val="28"/>
          <w:lang w:val="el-GR"/>
        </w:rPr>
        <w:t xml:space="preserve"> αναφορικά με την έννοια του όρου «</w:t>
      </w:r>
      <w:r w:rsidRPr="003B633A">
        <w:rPr>
          <w:rFonts w:ascii="Bookman Old Style" w:hAnsi="Bookman Old Style"/>
          <w:i/>
          <w:iCs/>
          <w:sz w:val="28"/>
          <w:szCs w:val="28"/>
          <w:lang w:val="el-GR"/>
        </w:rPr>
        <w:t>δεδομένα</w:t>
      </w:r>
      <w:r>
        <w:rPr>
          <w:rFonts w:ascii="Bookman Old Style" w:hAnsi="Bookman Old Style"/>
          <w:sz w:val="28"/>
          <w:szCs w:val="28"/>
          <w:lang w:val="el-GR"/>
        </w:rPr>
        <w:t xml:space="preserve">», όπως αποφασίστηκε στην απόφαση της Ολομέλειας του Ανωτάτου Δικαστηρίου </w:t>
      </w:r>
      <w:proofErr w:type="spellStart"/>
      <w:r w:rsidR="001F4A8A">
        <w:rPr>
          <w:rFonts w:ascii="Bookman Old Style" w:hAnsi="Bookman Old Style"/>
          <w:sz w:val="28"/>
          <w:szCs w:val="28"/>
          <w:lang w:val="el-GR"/>
        </w:rPr>
        <w:t>ημερ</w:t>
      </w:r>
      <w:proofErr w:type="spellEnd"/>
      <w:r w:rsidR="001F4A8A">
        <w:rPr>
          <w:rFonts w:ascii="Bookman Old Style" w:hAnsi="Bookman Old Style"/>
          <w:sz w:val="28"/>
          <w:szCs w:val="28"/>
          <w:lang w:val="el-GR"/>
        </w:rPr>
        <w:t>.</w:t>
      </w:r>
      <w:r>
        <w:rPr>
          <w:rFonts w:ascii="Bookman Old Style" w:hAnsi="Bookman Old Style"/>
          <w:sz w:val="28"/>
          <w:szCs w:val="28"/>
          <w:lang w:val="el-GR"/>
        </w:rPr>
        <w:t xml:space="preserve"> 27.10.2021.</w:t>
      </w:r>
    </w:p>
    <w:p w14:paraId="7717E0E5" w14:textId="77777777" w:rsidR="003A5A94" w:rsidRDefault="003A5A94" w:rsidP="009F6B85">
      <w:pPr>
        <w:pStyle w:val="ListParagraph"/>
        <w:tabs>
          <w:tab w:val="left" w:pos="1134"/>
        </w:tabs>
        <w:spacing w:after="0" w:line="120" w:lineRule="auto"/>
        <w:ind w:left="1077" w:hanging="426"/>
        <w:jc w:val="both"/>
        <w:rPr>
          <w:rFonts w:ascii="Bookman Old Style" w:hAnsi="Bookman Old Style"/>
          <w:sz w:val="28"/>
          <w:szCs w:val="28"/>
          <w:lang w:val="el-GR"/>
        </w:rPr>
      </w:pPr>
      <w:r>
        <w:rPr>
          <w:rFonts w:ascii="Bookman Old Style" w:hAnsi="Bookman Old Style"/>
          <w:sz w:val="28"/>
          <w:szCs w:val="28"/>
          <w:lang w:val="el-GR"/>
        </w:rPr>
        <w:t xml:space="preserve"> </w:t>
      </w:r>
    </w:p>
    <w:p w14:paraId="6A1BBA75" w14:textId="77777777" w:rsidR="003A5A94" w:rsidRDefault="003A5A94" w:rsidP="009F6B85">
      <w:pPr>
        <w:pStyle w:val="ListParagraph"/>
        <w:numPr>
          <w:ilvl w:val="0"/>
          <w:numId w:val="2"/>
        </w:numPr>
        <w:spacing w:before="240" w:after="120" w:line="360" w:lineRule="auto"/>
        <w:ind w:left="1134" w:hanging="480"/>
        <w:jc w:val="both"/>
        <w:rPr>
          <w:rFonts w:ascii="Bookman Old Style" w:hAnsi="Bookman Old Style"/>
          <w:sz w:val="28"/>
          <w:szCs w:val="28"/>
          <w:lang w:val="el-GR"/>
        </w:rPr>
      </w:pPr>
      <w:r>
        <w:rPr>
          <w:rFonts w:ascii="Bookman Old Style" w:hAnsi="Bookman Old Style"/>
          <w:sz w:val="28"/>
          <w:szCs w:val="28"/>
          <w:lang w:val="el-GR"/>
        </w:rPr>
        <w:t xml:space="preserve">Το προσβαλλόμενο διάταγμα εκδόθηκε καθ’ υπέρβαση δικαιοδοσίας και ή της αρχής της αναλογικότητας καθότι με αυτό δόθηκε γενική πρόσβαση σε καταγεγραμμένο περιεχόμενο, χωρίς να τεθεί οποιαδήποτε συγκεκριμένη χρονική περίοδος και χωρίς να συγκεκριμενοποιηθεί ποια δεδομένα είναι αναγκαία για τα υπό διερεύνηση αδικήματα. </w:t>
      </w:r>
    </w:p>
    <w:p w14:paraId="44CD11B7" w14:textId="77777777" w:rsidR="003A5A94" w:rsidRPr="000E605B" w:rsidRDefault="003A5A94" w:rsidP="009F6B85">
      <w:pPr>
        <w:pStyle w:val="ListParagraph"/>
        <w:spacing w:after="0" w:line="120" w:lineRule="auto"/>
        <w:ind w:hanging="426"/>
        <w:rPr>
          <w:rFonts w:ascii="Bookman Old Style" w:hAnsi="Bookman Old Style"/>
          <w:sz w:val="28"/>
          <w:szCs w:val="28"/>
          <w:lang w:val="el-GR"/>
        </w:rPr>
      </w:pPr>
    </w:p>
    <w:p w14:paraId="0A2D72F3" w14:textId="77777777" w:rsidR="003A5A94" w:rsidRDefault="003A5A94" w:rsidP="009F6B85">
      <w:pPr>
        <w:pStyle w:val="ListParagraph"/>
        <w:numPr>
          <w:ilvl w:val="0"/>
          <w:numId w:val="2"/>
        </w:numPr>
        <w:tabs>
          <w:tab w:val="left" w:pos="1134"/>
        </w:tabs>
        <w:spacing w:before="240" w:after="120" w:line="360" w:lineRule="auto"/>
        <w:ind w:hanging="426"/>
        <w:jc w:val="both"/>
        <w:rPr>
          <w:rFonts w:ascii="Bookman Old Style" w:hAnsi="Bookman Old Style"/>
          <w:sz w:val="28"/>
          <w:szCs w:val="28"/>
          <w:lang w:val="el-GR"/>
        </w:rPr>
      </w:pPr>
      <w:r>
        <w:rPr>
          <w:rFonts w:ascii="Bookman Old Style" w:hAnsi="Bookman Old Style"/>
          <w:sz w:val="28"/>
          <w:szCs w:val="28"/>
          <w:lang w:val="el-GR"/>
        </w:rPr>
        <w:t xml:space="preserve">Το Επαρχιακό Δικαστήριο εξέδωσε το προσβαλλόμενο διάταγμα καθ’  υπέρβαση του </w:t>
      </w:r>
      <w:r w:rsidRPr="00A96268">
        <w:rPr>
          <w:rFonts w:ascii="Bookman Old Style" w:hAnsi="Bookman Old Style"/>
          <w:b/>
          <w:bCs/>
          <w:i/>
          <w:iCs/>
          <w:sz w:val="28"/>
          <w:szCs w:val="28"/>
          <w:lang w:val="el-GR"/>
        </w:rPr>
        <w:t>Ν.92(Ι)/1996</w:t>
      </w:r>
      <w:r>
        <w:rPr>
          <w:rFonts w:ascii="Bookman Old Style" w:hAnsi="Bookman Old Style"/>
          <w:sz w:val="28"/>
          <w:szCs w:val="28"/>
          <w:lang w:val="el-GR"/>
        </w:rPr>
        <w:t xml:space="preserve"> καθότι αυτό αφορά και σε τρίτα πρόσωπα τα οποία δεν έδωσαν τη συγκατάθεση τους για την αποκάλυψη των δικών τους συνομιλιών, παραβιάζοντας έτσι το συνταγματικό τους δικαίωμα στην ιδιωτική ζωή.</w:t>
      </w:r>
    </w:p>
    <w:p w14:paraId="0C9F831C" w14:textId="77777777" w:rsidR="003A5A94" w:rsidRPr="000E605B" w:rsidRDefault="003A5A94" w:rsidP="009F6B85">
      <w:pPr>
        <w:pStyle w:val="ListParagraph"/>
        <w:spacing w:after="0" w:line="120" w:lineRule="auto"/>
        <w:ind w:firstLine="567"/>
        <w:rPr>
          <w:rFonts w:ascii="Bookman Old Style" w:hAnsi="Bookman Old Style"/>
          <w:sz w:val="28"/>
          <w:szCs w:val="28"/>
          <w:lang w:val="el-GR"/>
        </w:rPr>
      </w:pPr>
    </w:p>
    <w:p w14:paraId="5AF13DCC" w14:textId="77777777" w:rsidR="003A5A94" w:rsidRPr="002272EF" w:rsidRDefault="003A5A94" w:rsidP="009F6B85">
      <w:pPr>
        <w:tabs>
          <w:tab w:val="left" w:pos="567"/>
        </w:tabs>
        <w:spacing w:before="240" w:after="100" w:afterAutospacing="1" w:line="480" w:lineRule="auto"/>
        <w:ind w:firstLine="567"/>
        <w:jc w:val="both"/>
        <w:rPr>
          <w:rFonts w:ascii="Bookman Old Style" w:eastAsia="Times New Roman" w:hAnsi="Bookman Old Style" w:cs="Times New Roman"/>
          <w:kern w:val="0"/>
          <w:sz w:val="28"/>
          <w:szCs w:val="28"/>
          <w:lang w:val="el-GR"/>
          <w14:ligatures w14:val="none"/>
        </w:rPr>
      </w:pPr>
      <w:r w:rsidRPr="003D3C1A">
        <w:rPr>
          <w:rFonts w:ascii="Bookman Old Style" w:hAnsi="Bookman Old Style"/>
          <w:sz w:val="28"/>
          <w:szCs w:val="28"/>
          <w:lang w:val="el-GR"/>
        </w:rPr>
        <w:lastRenderedPageBreak/>
        <w:t xml:space="preserve">Οι αρχές που διέπουν τη χορήγηση άδειας για καταχώριση αίτησης για έκδοση προνομιακού εντάλματος </w:t>
      </w:r>
      <w:r w:rsidRPr="003D3C1A">
        <w:rPr>
          <w:rFonts w:ascii="Bookman Old Style" w:hAnsi="Bookman Old Style"/>
          <w:sz w:val="28"/>
          <w:szCs w:val="28"/>
          <w:lang w:val="en-GB"/>
        </w:rPr>
        <w:t>Certiorari</w:t>
      </w:r>
      <w:r w:rsidRPr="003D3C1A">
        <w:rPr>
          <w:rFonts w:ascii="Bookman Old Style" w:hAnsi="Bookman Old Style"/>
          <w:sz w:val="28"/>
          <w:szCs w:val="28"/>
          <w:lang w:val="el-GR"/>
        </w:rPr>
        <w:t xml:space="preserve"> έχουν επανειλημμένα αναφερθεί στις αποφάσεις του Ανωτάτου Δικαστηρίου. </w:t>
      </w:r>
      <w:r>
        <w:rPr>
          <w:rFonts w:ascii="Bookman Old Style" w:hAnsi="Bookman Old Style"/>
          <w:sz w:val="28"/>
          <w:szCs w:val="28"/>
          <w:lang w:val="el-GR"/>
        </w:rPr>
        <w:t>Χρήσιμη αναφορά γίνεται στην</w:t>
      </w:r>
      <w:r w:rsidRPr="003D3C1A">
        <w:rPr>
          <w:rFonts w:ascii="Bookman Old Style" w:hAnsi="Bookman Old Style"/>
          <w:sz w:val="28"/>
          <w:szCs w:val="28"/>
          <w:lang w:val="el-GR"/>
        </w:rPr>
        <w:t xml:space="preserve"> υπόθεση </w:t>
      </w:r>
      <w:r w:rsidRPr="003D3C1A">
        <w:rPr>
          <w:rFonts w:ascii="Bookman Old Style" w:hAnsi="Bookman Old Style"/>
          <w:b/>
          <w:bCs/>
          <w:i/>
          <w:iCs/>
          <w:sz w:val="28"/>
          <w:szCs w:val="28"/>
          <w:lang w:val="el-GR"/>
        </w:rPr>
        <w:t xml:space="preserve">Αναφορικά με την Αίτηση του Πέτρου </w:t>
      </w:r>
      <w:proofErr w:type="spellStart"/>
      <w:r w:rsidRPr="003D3C1A">
        <w:rPr>
          <w:rFonts w:ascii="Bookman Old Style" w:hAnsi="Bookman Old Style"/>
          <w:b/>
          <w:bCs/>
          <w:i/>
          <w:iCs/>
          <w:sz w:val="28"/>
          <w:szCs w:val="28"/>
          <w:lang w:val="el-GR"/>
        </w:rPr>
        <w:t>Ευδόκα</w:t>
      </w:r>
      <w:proofErr w:type="spellEnd"/>
      <w:r w:rsidRPr="003D3C1A">
        <w:rPr>
          <w:rFonts w:ascii="Bookman Old Style" w:hAnsi="Bookman Old Style"/>
          <w:b/>
          <w:bCs/>
          <w:i/>
          <w:iCs/>
          <w:sz w:val="28"/>
          <w:szCs w:val="28"/>
          <w:lang w:val="el-GR"/>
        </w:rPr>
        <w:t xml:space="preserve"> (2016) 1(Γ) Α.Α.Δ. 3018</w:t>
      </w:r>
      <w:r w:rsidRPr="00535FF3">
        <w:rPr>
          <w:rFonts w:ascii="Bookman Old Style" w:hAnsi="Bookman Old Style"/>
          <w:sz w:val="28"/>
          <w:szCs w:val="28"/>
          <w:lang w:val="el-GR"/>
        </w:rPr>
        <w:t xml:space="preserve">, στην οποία επαναλήφθηκε </w:t>
      </w:r>
      <w:r>
        <w:rPr>
          <w:rFonts w:ascii="Bookman Old Style" w:hAnsi="Bookman Old Style"/>
          <w:sz w:val="28"/>
          <w:szCs w:val="28"/>
          <w:lang w:val="el-GR"/>
        </w:rPr>
        <w:t xml:space="preserve">ότι σε τέτοιας φύσης αιτήσεις, το Δικαστήριο δεν προβαίνει σε αναθεώρηση της ορθότητας της απόφασης του κατώτερου Δικαστηρίου. Για να χορηγηθεί άδεια, ο αιτητής θα πρέπει να τεκμηριώσει εκ πρώτης όψεως συζητήσιμη υπόθεση. Τα προνομιακά εντάλματα χορηγούνται κατ’  εξαίρεση όταν διαπιστώνεται </w:t>
      </w:r>
      <w:r w:rsidRPr="00D20FE2">
        <w:rPr>
          <w:rFonts w:ascii="Bookman Old Style" w:eastAsia="Times New Roman" w:hAnsi="Bookman Old Style" w:cs="Times New Roman"/>
          <w:spacing w:val="-3"/>
          <w:kern w:val="0"/>
          <w:sz w:val="28"/>
          <w:szCs w:val="28"/>
          <w:lang w:val="el-GR"/>
          <w14:ligatures w14:val="none"/>
        </w:rPr>
        <w:t xml:space="preserve">έλλειψη ή υπέρβαση δικαιοδοσίας, </w:t>
      </w:r>
      <w:r>
        <w:rPr>
          <w:rFonts w:ascii="Bookman Old Style" w:eastAsia="Times New Roman" w:hAnsi="Bookman Old Style" w:cs="Times New Roman"/>
          <w:spacing w:val="-3"/>
          <w:kern w:val="0"/>
          <w:sz w:val="28"/>
          <w:szCs w:val="28"/>
          <w:lang w:val="el-GR"/>
          <w14:ligatures w14:val="none"/>
        </w:rPr>
        <w:t>είτε</w:t>
      </w:r>
      <w:r w:rsidRPr="00D20FE2">
        <w:rPr>
          <w:rFonts w:ascii="Bookman Old Style" w:eastAsia="Times New Roman" w:hAnsi="Bookman Old Style" w:cs="Times New Roman"/>
          <w:spacing w:val="-3"/>
          <w:kern w:val="0"/>
          <w:sz w:val="28"/>
          <w:szCs w:val="28"/>
          <w:lang w:val="el-GR"/>
          <w14:ligatures w14:val="none"/>
        </w:rPr>
        <w:t xml:space="preserve"> πλάνη περί το</w:t>
      </w:r>
      <w:r>
        <w:rPr>
          <w:rFonts w:ascii="Bookman Old Style" w:eastAsia="Times New Roman" w:hAnsi="Bookman Old Style" w:cs="Times New Roman"/>
          <w:spacing w:val="-3"/>
          <w:kern w:val="0"/>
          <w:sz w:val="28"/>
          <w:szCs w:val="28"/>
          <w:lang w:val="el-GR"/>
          <w14:ligatures w14:val="none"/>
        </w:rPr>
        <w:t>ν</w:t>
      </w:r>
      <w:r w:rsidRPr="00D20FE2">
        <w:rPr>
          <w:rFonts w:ascii="Bookman Old Style" w:eastAsia="Times New Roman" w:hAnsi="Bookman Old Style" w:cs="Times New Roman"/>
          <w:spacing w:val="-3"/>
          <w:kern w:val="0"/>
          <w:sz w:val="28"/>
          <w:szCs w:val="28"/>
          <w:lang w:val="el-GR"/>
          <w14:ligatures w14:val="none"/>
        </w:rPr>
        <w:t xml:space="preserve"> Νόμο, </w:t>
      </w:r>
      <w:r>
        <w:rPr>
          <w:rFonts w:ascii="Bookman Old Style" w:eastAsia="Times New Roman" w:hAnsi="Bookman Old Style" w:cs="Times New Roman"/>
          <w:spacing w:val="-3"/>
          <w:kern w:val="0"/>
          <w:sz w:val="28"/>
          <w:szCs w:val="28"/>
          <w:lang w:val="el-GR"/>
          <w14:ligatures w14:val="none"/>
        </w:rPr>
        <w:t>είτε</w:t>
      </w:r>
      <w:r w:rsidRPr="00D20FE2">
        <w:rPr>
          <w:rFonts w:ascii="Bookman Old Style" w:eastAsia="Times New Roman" w:hAnsi="Bookman Old Style" w:cs="Times New Roman"/>
          <w:spacing w:val="-3"/>
          <w:kern w:val="0"/>
          <w:sz w:val="28"/>
          <w:szCs w:val="28"/>
          <w:lang w:val="el-GR"/>
          <w14:ligatures w14:val="none"/>
        </w:rPr>
        <w:t xml:space="preserve"> παραβίαση των κανόνων φυσικής δικαιοσύνης.</w:t>
      </w:r>
      <w:r w:rsidRPr="00D20FE2">
        <w:rPr>
          <w:rFonts w:ascii="Bookman Old Style" w:eastAsia="Times New Roman" w:hAnsi="Bookman Old Style" w:cs="Times New Roman"/>
          <w:i/>
          <w:iCs/>
          <w:spacing w:val="-3"/>
          <w:kern w:val="0"/>
          <w:sz w:val="28"/>
          <w:szCs w:val="28"/>
          <w:lang w:val="el-GR"/>
          <w14:ligatures w14:val="none"/>
        </w:rPr>
        <w:t xml:space="preserve"> </w:t>
      </w:r>
    </w:p>
    <w:p w14:paraId="73DCA162" w14:textId="2A38F2B9" w:rsidR="003A5A94" w:rsidRDefault="003A5A94"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Στην Έκθεση και στην ένορκη δήλωση του Αιτητή οι οποίες συνοδεύουν την Αίτηση, αναφέρεται το ιστορικό των γεγονότων από τη σύλληψη </w:t>
      </w:r>
      <w:r w:rsidR="00E9321F">
        <w:rPr>
          <w:rFonts w:ascii="Bookman Old Style" w:hAnsi="Bookman Old Style"/>
          <w:sz w:val="28"/>
          <w:szCs w:val="28"/>
          <w:lang w:val="el-GR"/>
        </w:rPr>
        <w:t xml:space="preserve">του </w:t>
      </w:r>
      <w:r>
        <w:rPr>
          <w:rFonts w:ascii="Bookman Old Style" w:hAnsi="Bookman Old Style"/>
          <w:sz w:val="28"/>
          <w:szCs w:val="28"/>
          <w:lang w:val="el-GR"/>
        </w:rPr>
        <w:t xml:space="preserve">μέχρι και την παραπομπή του ενώπιον του Κακουργιοδικείου Λεμεσού για υπόθεση συνωμοσίας, φόνου εκ προμελέτης, κατοχής όπλων και εμπρησμού. Ακολούθως επαναλαμβάνονται οι λόγοι στους οποίους στηρίζεται η Αίτηση. </w:t>
      </w:r>
    </w:p>
    <w:p w14:paraId="72282A7A" w14:textId="65C47507" w:rsidR="003A5A94" w:rsidRDefault="003A5A94"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αίτηση για την έκδοση του προσβαλλόμενου διατάγματος, η ένορκη δήλωση που τη συνοδεύει και το σχετικό πρακτικό – διάταγμα </w:t>
      </w:r>
      <w:r>
        <w:rPr>
          <w:rFonts w:ascii="Bookman Old Style" w:hAnsi="Bookman Old Style"/>
          <w:sz w:val="28"/>
          <w:szCs w:val="28"/>
          <w:lang w:val="el-GR"/>
        </w:rPr>
        <w:lastRenderedPageBreak/>
        <w:t xml:space="preserve">του Δικαστηρίου επισυνάπτονται ως Τεκμήριο </w:t>
      </w:r>
      <w:r w:rsidR="00E9321F">
        <w:rPr>
          <w:rFonts w:ascii="Bookman Old Style" w:hAnsi="Bookman Old Style"/>
          <w:sz w:val="28"/>
          <w:szCs w:val="28"/>
          <w:lang w:val="el-GR"/>
        </w:rPr>
        <w:t>3</w:t>
      </w:r>
      <w:r>
        <w:rPr>
          <w:rFonts w:ascii="Bookman Old Style" w:hAnsi="Bookman Old Style"/>
          <w:sz w:val="28"/>
          <w:szCs w:val="28"/>
          <w:lang w:val="el-GR"/>
        </w:rPr>
        <w:t xml:space="preserve"> στην ένορκη δήλωση του Αιτητή. </w:t>
      </w:r>
    </w:p>
    <w:p w14:paraId="34654CC4" w14:textId="27C13639" w:rsidR="00E57487" w:rsidRDefault="007C5CB8"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Όπως αναφέρεται στην αίτηση</w:t>
      </w:r>
      <w:r w:rsidR="00416CE6">
        <w:rPr>
          <w:rFonts w:ascii="Bookman Old Style" w:hAnsi="Bookman Old Style"/>
          <w:sz w:val="28"/>
          <w:szCs w:val="28"/>
          <w:lang w:val="el-GR"/>
        </w:rPr>
        <w:t>,</w:t>
      </w:r>
      <w:r>
        <w:rPr>
          <w:rFonts w:ascii="Bookman Old Style" w:hAnsi="Bookman Old Style"/>
          <w:sz w:val="28"/>
          <w:szCs w:val="28"/>
          <w:lang w:val="el-GR"/>
        </w:rPr>
        <w:t xml:space="preserve"> αυτή βασίζετ</w:t>
      </w:r>
      <w:r w:rsidR="00CF77AA">
        <w:rPr>
          <w:rFonts w:ascii="Bookman Old Style" w:hAnsi="Bookman Old Style"/>
          <w:sz w:val="28"/>
          <w:szCs w:val="28"/>
          <w:lang w:val="el-GR"/>
        </w:rPr>
        <w:t>ο</w:t>
      </w:r>
      <w:r>
        <w:rPr>
          <w:rFonts w:ascii="Bookman Old Style" w:hAnsi="Bookman Old Style"/>
          <w:sz w:val="28"/>
          <w:szCs w:val="28"/>
          <w:lang w:val="el-GR"/>
        </w:rPr>
        <w:t xml:space="preserve"> στον </w:t>
      </w:r>
      <w:r w:rsidRPr="007C5CB8">
        <w:rPr>
          <w:rFonts w:ascii="Bookman Old Style" w:hAnsi="Bookman Old Style"/>
          <w:b/>
          <w:bCs/>
          <w:i/>
          <w:iCs/>
          <w:sz w:val="28"/>
          <w:szCs w:val="28"/>
          <w:lang w:val="el-GR"/>
        </w:rPr>
        <w:t>περί Διατήρησης Τηλεπικοινωνιακών Δεδομένων με Σκοπό τη Διερεύνηση Σοβαρών Ποινικών Αδικημάτων Νόμο του 2007, Ν.183(Ι)/2007</w:t>
      </w:r>
      <w:r w:rsidR="00C14B5E">
        <w:rPr>
          <w:rFonts w:ascii="Bookman Old Style" w:hAnsi="Bookman Old Style"/>
          <w:sz w:val="28"/>
          <w:szCs w:val="28"/>
          <w:lang w:val="el-GR"/>
        </w:rPr>
        <w:t>, όπως και το εκδοθέν προσβαλλόμενο δικαστικό διάταγμα</w:t>
      </w:r>
      <w:r>
        <w:rPr>
          <w:rFonts w:ascii="Bookman Old Style" w:hAnsi="Bookman Old Style"/>
          <w:sz w:val="28"/>
          <w:szCs w:val="28"/>
          <w:lang w:val="el-GR"/>
        </w:rPr>
        <w:t xml:space="preserve">. </w:t>
      </w:r>
    </w:p>
    <w:p w14:paraId="05BF4D4B" w14:textId="3FAB912E" w:rsidR="002944B8" w:rsidRDefault="002944B8"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Το </w:t>
      </w:r>
      <w:r w:rsidRPr="002944B8">
        <w:rPr>
          <w:rFonts w:ascii="Bookman Old Style" w:hAnsi="Bookman Old Style"/>
          <w:b/>
          <w:bCs/>
          <w:i/>
          <w:iCs/>
          <w:sz w:val="28"/>
          <w:szCs w:val="28"/>
          <w:lang w:val="el-GR"/>
        </w:rPr>
        <w:t>άρθρο 4(1)(α)</w:t>
      </w:r>
      <w:r>
        <w:rPr>
          <w:rFonts w:ascii="Bookman Old Style" w:hAnsi="Bookman Old Style"/>
          <w:sz w:val="28"/>
          <w:szCs w:val="28"/>
          <w:lang w:val="el-GR"/>
        </w:rPr>
        <w:t xml:space="preserve"> του </w:t>
      </w:r>
      <w:r w:rsidRPr="002944B8">
        <w:rPr>
          <w:rFonts w:ascii="Bookman Old Style" w:hAnsi="Bookman Old Style"/>
          <w:b/>
          <w:bCs/>
          <w:i/>
          <w:iCs/>
          <w:sz w:val="28"/>
          <w:szCs w:val="28"/>
          <w:lang w:val="el-GR"/>
        </w:rPr>
        <w:t>Ν.183(Ι)/2007</w:t>
      </w:r>
      <w:r>
        <w:rPr>
          <w:rFonts w:ascii="Bookman Old Style" w:hAnsi="Bookman Old Style"/>
          <w:sz w:val="28"/>
          <w:szCs w:val="28"/>
          <w:lang w:val="el-GR"/>
        </w:rPr>
        <w:t xml:space="preserve"> προνοεί για τη δυνατότητα εξασφάλισης δεδομένων που έχουν σχέση με τη διερεύνηση σοβαρού ποινικού αδικήματος, εφόσον προηγουμένως εξασφαλιστεί δικαστικό διάταγμα. Ο όρος «</w:t>
      </w:r>
      <w:r w:rsidRPr="002944B8">
        <w:rPr>
          <w:rFonts w:ascii="Bookman Old Style" w:hAnsi="Bookman Old Style"/>
          <w:i/>
          <w:iCs/>
          <w:sz w:val="28"/>
          <w:szCs w:val="28"/>
          <w:lang w:val="el-GR"/>
        </w:rPr>
        <w:t>δεδομένα</w:t>
      </w:r>
      <w:r>
        <w:rPr>
          <w:rFonts w:ascii="Bookman Old Style" w:hAnsi="Bookman Old Style"/>
          <w:sz w:val="28"/>
          <w:szCs w:val="28"/>
          <w:lang w:val="el-GR"/>
        </w:rPr>
        <w:t xml:space="preserve">» ερμηνεύεται στο </w:t>
      </w:r>
      <w:r w:rsidRPr="002944B8">
        <w:rPr>
          <w:rFonts w:ascii="Bookman Old Style" w:hAnsi="Bookman Old Style"/>
          <w:b/>
          <w:bCs/>
          <w:i/>
          <w:iCs/>
          <w:sz w:val="28"/>
          <w:szCs w:val="28"/>
          <w:lang w:val="el-GR"/>
        </w:rPr>
        <w:t>άρθρο 2</w:t>
      </w:r>
      <w:r>
        <w:rPr>
          <w:rFonts w:ascii="Bookman Old Style" w:hAnsi="Bookman Old Style"/>
          <w:sz w:val="28"/>
          <w:szCs w:val="28"/>
          <w:lang w:val="el-GR"/>
        </w:rPr>
        <w:t xml:space="preserve"> του Νόμου ως «</w:t>
      </w:r>
      <w:r w:rsidRPr="002944B8">
        <w:rPr>
          <w:rFonts w:ascii="Bookman Old Style" w:hAnsi="Bookman Old Style"/>
          <w:i/>
          <w:iCs/>
          <w:sz w:val="28"/>
          <w:szCs w:val="28"/>
          <w:lang w:val="el-GR"/>
        </w:rPr>
        <w:t>τα δεδομένα κίνησης και θέσης και τα συναφή δεδομένα που είναι αναγκαία για την αναγνώριση του συνδρομητή ή/και του χρήστη και που προσδιορίζονται στα άρθρα 6, 7, 8, 9, 10 και 11 του παρόντος Νόμου</w:t>
      </w:r>
      <w:r>
        <w:rPr>
          <w:rFonts w:ascii="Bookman Old Style" w:hAnsi="Bookman Old Style"/>
          <w:sz w:val="28"/>
          <w:szCs w:val="28"/>
          <w:lang w:val="el-GR"/>
        </w:rPr>
        <w:t xml:space="preserve">». </w:t>
      </w:r>
    </w:p>
    <w:p w14:paraId="405359D0" w14:textId="33ED754B" w:rsidR="002944B8" w:rsidRDefault="002944B8"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Στην υπόθεση </w:t>
      </w:r>
      <w:r w:rsidRPr="00C861B1">
        <w:rPr>
          <w:rFonts w:ascii="Bookman Old Style" w:hAnsi="Bookman Old Style"/>
          <w:b/>
          <w:bCs/>
          <w:i/>
          <w:iCs/>
          <w:sz w:val="28"/>
          <w:szCs w:val="28"/>
          <w:lang w:val="el-GR"/>
        </w:rPr>
        <w:t xml:space="preserve">Αναφορικά με την Αίτηση του Χατζηιωάννου </w:t>
      </w:r>
      <w:proofErr w:type="spellStart"/>
      <w:r w:rsidRPr="00C861B1">
        <w:rPr>
          <w:rFonts w:ascii="Bookman Old Style" w:hAnsi="Bookman Old Style"/>
          <w:b/>
          <w:bCs/>
          <w:i/>
          <w:iCs/>
          <w:sz w:val="28"/>
          <w:szCs w:val="28"/>
          <w:lang w:val="el-GR"/>
        </w:rPr>
        <w:t>κ.ά</w:t>
      </w:r>
      <w:proofErr w:type="spellEnd"/>
      <w:r w:rsidRPr="00C861B1">
        <w:rPr>
          <w:rFonts w:ascii="Bookman Old Style" w:hAnsi="Bookman Old Style"/>
          <w:b/>
          <w:bCs/>
          <w:i/>
          <w:iCs/>
          <w:sz w:val="28"/>
          <w:szCs w:val="28"/>
          <w:lang w:val="el-GR"/>
        </w:rPr>
        <w:t xml:space="preserve">, Πολ. Αιτήσεις 97/2018 </w:t>
      </w:r>
      <w:proofErr w:type="spellStart"/>
      <w:r w:rsidRPr="00C861B1">
        <w:rPr>
          <w:rFonts w:ascii="Bookman Old Style" w:hAnsi="Bookman Old Style"/>
          <w:b/>
          <w:bCs/>
          <w:i/>
          <w:iCs/>
          <w:sz w:val="28"/>
          <w:szCs w:val="28"/>
          <w:lang w:val="el-GR"/>
        </w:rPr>
        <w:t>κ.ά</w:t>
      </w:r>
      <w:proofErr w:type="spellEnd"/>
      <w:r w:rsidRPr="00C861B1">
        <w:rPr>
          <w:rFonts w:ascii="Bookman Old Style" w:hAnsi="Bookman Old Style"/>
          <w:b/>
          <w:bCs/>
          <w:i/>
          <w:iCs/>
          <w:sz w:val="28"/>
          <w:szCs w:val="28"/>
          <w:lang w:val="el-GR"/>
        </w:rPr>
        <w:t xml:space="preserve">, </w:t>
      </w:r>
      <w:proofErr w:type="spellStart"/>
      <w:r w:rsidRPr="00C861B1">
        <w:rPr>
          <w:rFonts w:ascii="Bookman Old Style" w:hAnsi="Bookman Old Style"/>
          <w:b/>
          <w:bCs/>
          <w:i/>
          <w:iCs/>
          <w:sz w:val="28"/>
          <w:szCs w:val="28"/>
          <w:lang w:val="el-GR"/>
        </w:rPr>
        <w:t>ημερ</w:t>
      </w:r>
      <w:proofErr w:type="spellEnd"/>
      <w:r w:rsidRPr="00C861B1">
        <w:rPr>
          <w:rFonts w:ascii="Bookman Old Style" w:hAnsi="Bookman Old Style"/>
          <w:b/>
          <w:bCs/>
          <w:i/>
          <w:iCs/>
          <w:sz w:val="28"/>
          <w:szCs w:val="28"/>
          <w:lang w:val="el-GR"/>
        </w:rPr>
        <w:t>. 27.10.2021</w:t>
      </w:r>
      <w:r>
        <w:rPr>
          <w:rFonts w:ascii="Bookman Old Style" w:hAnsi="Bookman Old Style"/>
          <w:sz w:val="28"/>
          <w:szCs w:val="28"/>
          <w:lang w:val="el-GR"/>
        </w:rPr>
        <w:t xml:space="preserve">, στην οποία παρέπεμψε ο Αιτητής, </w:t>
      </w:r>
      <w:r w:rsidR="00BD40D0">
        <w:rPr>
          <w:rFonts w:ascii="Bookman Old Style" w:hAnsi="Bookman Old Style"/>
          <w:sz w:val="28"/>
          <w:szCs w:val="28"/>
          <w:lang w:val="el-GR"/>
        </w:rPr>
        <w:t xml:space="preserve">η </w:t>
      </w:r>
      <w:r>
        <w:rPr>
          <w:rFonts w:ascii="Bookman Old Style" w:hAnsi="Bookman Old Style"/>
          <w:sz w:val="28"/>
          <w:szCs w:val="28"/>
          <w:lang w:val="el-GR"/>
        </w:rPr>
        <w:t xml:space="preserve">Ολομέλεια </w:t>
      </w:r>
      <w:r w:rsidR="00BD40D0">
        <w:rPr>
          <w:rFonts w:ascii="Bookman Old Style" w:hAnsi="Bookman Old Style"/>
          <w:sz w:val="28"/>
          <w:szCs w:val="28"/>
          <w:lang w:val="el-GR"/>
        </w:rPr>
        <w:t xml:space="preserve">(κατά πλειοψηφία) αποφάσισε ότι τα </w:t>
      </w:r>
      <w:r w:rsidR="00BD40D0" w:rsidRPr="00BD40D0">
        <w:rPr>
          <w:rFonts w:ascii="Bookman Old Style" w:hAnsi="Bookman Old Style"/>
          <w:b/>
          <w:bCs/>
          <w:i/>
          <w:iCs/>
          <w:sz w:val="28"/>
          <w:szCs w:val="28"/>
          <w:lang w:val="el-GR"/>
        </w:rPr>
        <w:t>άρθρα 3</w:t>
      </w:r>
      <w:r w:rsidR="00BD40D0">
        <w:rPr>
          <w:rFonts w:ascii="Bookman Old Style" w:hAnsi="Bookman Old Style"/>
          <w:sz w:val="28"/>
          <w:szCs w:val="28"/>
          <w:lang w:val="el-GR"/>
        </w:rPr>
        <w:t xml:space="preserve"> και </w:t>
      </w:r>
      <w:r w:rsidR="00BD40D0" w:rsidRPr="00BD40D0">
        <w:rPr>
          <w:rFonts w:ascii="Bookman Old Style" w:hAnsi="Bookman Old Style"/>
          <w:b/>
          <w:bCs/>
          <w:i/>
          <w:iCs/>
          <w:sz w:val="28"/>
          <w:szCs w:val="28"/>
          <w:lang w:val="el-GR"/>
        </w:rPr>
        <w:t>6-10</w:t>
      </w:r>
      <w:r w:rsidR="00BD40D0">
        <w:rPr>
          <w:rFonts w:ascii="Bookman Old Style" w:hAnsi="Bookman Old Style"/>
          <w:sz w:val="28"/>
          <w:szCs w:val="28"/>
          <w:lang w:val="el-GR"/>
        </w:rPr>
        <w:t xml:space="preserve"> </w:t>
      </w:r>
      <w:r>
        <w:rPr>
          <w:rFonts w:ascii="Bookman Old Style" w:hAnsi="Bookman Old Style"/>
          <w:sz w:val="28"/>
          <w:szCs w:val="28"/>
          <w:lang w:val="el-GR"/>
        </w:rPr>
        <w:t xml:space="preserve">του </w:t>
      </w:r>
      <w:r w:rsidRPr="00C861B1">
        <w:rPr>
          <w:rFonts w:ascii="Bookman Old Style" w:hAnsi="Bookman Old Style"/>
          <w:b/>
          <w:bCs/>
          <w:i/>
          <w:iCs/>
          <w:sz w:val="28"/>
          <w:szCs w:val="28"/>
          <w:lang w:val="el-GR"/>
        </w:rPr>
        <w:t>Ν.183(Ι)/2007</w:t>
      </w:r>
      <w:r>
        <w:rPr>
          <w:rFonts w:ascii="Bookman Old Style" w:hAnsi="Bookman Old Style"/>
          <w:sz w:val="28"/>
          <w:szCs w:val="28"/>
          <w:lang w:val="el-GR"/>
        </w:rPr>
        <w:t xml:space="preserve">, </w:t>
      </w:r>
      <w:r w:rsidR="00BD40D0">
        <w:rPr>
          <w:rFonts w:ascii="Bookman Old Style" w:hAnsi="Bookman Old Style"/>
          <w:sz w:val="28"/>
          <w:szCs w:val="28"/>
          <w:lang w:val="el-GR"/>
        </w:rPr>
        <w:t xml:space="preserve">που αφορούν στη γενική και </w:t>
      </w:r>
      <w:r w:rsidR="00BD40D0">
        <w:rPr>
          <w:rFonts w:ascii="Bookman Old Style" w:hAnsi="Bookman Old Style"/>
          <w:sz w:val="28"/>
          <w:szCs w:val="28"/>
          <w:lang w:val="el-GR"/>
        </w:rPr>
        <w:lastRenderedPageBreak/>
        <w:t xml:space="preserve">χωρίς διάκριση διατήρηση τηλεπικοινωνιακών δεδομένων </w:t>
      </w:r>
      <w:r>
        <w:rPr>
          <w:rFonts w:ascii="Bookman Old Style" w:hAnsi="Bookman Old Style"/>
          <w:sz w:val="28"/>
          <w:szCs w:val="28"/>
          <w:lang w:val="el-GR"/>
        </w:rPr>
        <w:t>«</w:t>
      </w:r>
      <w:r w:rsidRPr="00C861B1">
        <w:rPr>
          <w:rFonts w:ascii="Bookman Old Style" w:hAnsi="Bookman Old Style"/>
          <w:i/>
          <w:iCs/>
          <w:sz w:val="28"/>
          <w:szCs w:val="28"/>
          <w:lang w:val="el-GR"/>
        </w:rPr>
        <w:t xml:space="preserve">αντιβαίνουν στην εφαρμοστέα </w:t>
      </w:r>
      <w:proofErr w:type="spellStart"/>
      <w:r w:rsidRPr="00C861B1">
        <w:rPr>
          <w:rFonts w:ascii="Bookman Old Style" w:hAnsi="Bookman Old Style"/>
          <w:i/>
          <w:iCs/>
          <w:sz w:val="28"/>
          <w:szCs w:val="28"/>
          <w:lang w:val="el-GR"/>
        </w:rPr>
        <w:t>ενωσιακή</w:t>
      </w:r>
      <w:proofErr w:type="spellEnd"/>
      <w:r w:rsidRPr="00C861B1">
        <w:rPr>
          <w:rFonts w:ascii="Bookman Old Style" w:hAnsi="Bookman Old Style"/>
          <w:i/>
          <w:iCs/>
          <w:sz w:val="28"/>
          <w:szCs w:val="28"/>
          <w:lang w:val="el-GR"/>
        </w:rPr>
        <w:t xml:space="preserve"> νομοθεσία και νομολογία</w:t>
      </w:r>
      <w:r>
        <w:rPr>
          <w:rFonts w:ascii="Bookman Old Style" w:hAnsi="Bookman Old Style"/>
          <w:sz w:val="28"/>
          <w:szCs w:val="28"/>
          <w:lang w:val="el-GR"/>
        </w:rPr>
        <w:t xml:space="preserve">». </w:t>
      </w:r>
    </w:p>
    <w:p w14:paraId="3E2A38DD" w14:textId="18574A12" w:rsidR="0055452D" w:rsidRDefault="005E4195"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Δεν διαφεύγει την προσοχή μου ότι κατά την εξέταση της αίτησης, το κατώτερο Δικαστήριο διέκρινε την προαναφερόμενη απόφαση, αναφέροντας ότι εκείνη αφορούσε αποκλειστικά σε συγκεκριμένες πρόνοιες του </w:t>
      </w:r>
      <w:r w:rsidRPr="005E4195">
        <w:rPr>
          <w:rFonts w:ascii="Bookman Old Style" w:hAnsi="Bookman Old Style"/>
          <w:b/>
          <w:bCs/>
          <w:i/>
          <w:iCs/>
          <w:sz w:val="28"/>
          <w:szCs w:val="28"/>
          <w:lang w:val="el-GR"/>
        </w:rPr>
        <w:t>Ν.183(Ι)/</w:t>
      </w:r>
      <w:r>
        <w:rPr>
          <w:rFonts w:ascii="Bookman Old Style" w:hAnsi="Bookman Old Style"/>
          <w:b/>
          <w:bCs/>
          <w:i/>
          <w:iCs/>
          <w:sz w:val="28"/>
          <w:szCs w:val="28"/>
          <w:lang w:val="el-GR"/>
        </w:rPr>
        <w:t>20</w:t>
      </w:r>
      <w:r w:rsidRPr="005E4195">
        <w:rPr>
          <w:rFonts w:ascii="Bookman Old Style" w:hAnsi="Bookman Old Style"/>
          <w:b/>
          <w:bCs/>
          <w:i/>
          <w:iCs/>
          <w:sz w:val="28"/>
          <w:szCs w:val="28"/>
          <w:lang w:val="el-GR"/>
        </w:rPr>
        <w:t>07</w:t>
      </w:r>
      <w:r>
        <w:rPr>
          <w:rFonts w:ascii="Bookman Old Style" w:hAnsi="Bookman Old Style"/>
          <w:sz w:val="28"/>
          <w:szCs w:val="28"/>
          <w:lang w:val="el-GR"/>
        </w:rPr>
        <w:t xml:space="preserve"> και ότι η υπό κρίση αίτηση στηρίζετο και </w:t>
      </w:r>
      <w:r w:rsidR="00B0520E">
        <w:rPr>
          <w:rFonts w:ascii="Bookman Old Style" w:hAnsi="Bookman Old Style"/>
          <w:sz w:val="28"/>
          <w:szCs w:val="28"/>
          <w:lang w:val="el-GR"/>
        </w:rPr>
        <w:t>σ</w:t>
      </w:r>
      <w:r>
        <w:rPr>
          <w:rFonts w:ascii="Bookman Old Style" w:hAnsi="Bookman Old Style"/>
          <w:sz w:val="28"/>
          <w:szCs w:val="28"/>
          <w:lang w:val="el-GR"/>
        </w:rPr>
        <w:t xml:space="preserve">τις πρόνοιες του </w:t>
      </w:r>
      <w:r w:rsidR="00281684" w:rsidRPr="00281684">
        <w:rPr>
          <w:rFonts w:ascii="Bookman Old Style" w:hAnsi="Bookman Old Style"/>
          <w:b/>
          <w:bCs/>
          <w:i/>
          <w:iCs/>
          <w:sz w:val="28"/>
          <w:szCs w:val="28"/>
          <w:lang w:val="el-GR"/>
        </w:rPr>
        <w:t xml:space="preserve">περί Ρυθμίσεως Ηλεκτρονικών Επικοινωνιών και </w:t>
      </w:r>
      <w:proofErr w:type="spellStart"/>
      <w:r w:rsidR="00465BE0">
        <w:rPr>
          <w:rFonts w:ascii="Bookman Old Style" w:hAnsi="Bookman Old Style"/>
          <w:b/>
          <w:bCs/>
          <w:i/>
          <w:iCs/>
          <w:sz w:val="28"/>
          <w:szCs w:val="28"/>
          <w:lang w:val="el-GR"/>
        </w:rPr>
        <w:t>T</w:t>
      </w:r>
      <w:r w:rsidR="00281684" w:rsidRPr="00281684">
        <w:rPr>
          <w:rFonts w:ascii="Bookman Old Style" w:hAnsi="Bookman Old Style"/>
          <w:b/>
          <w:bCs/>
          <w:i/>
          <w:iCs/>
          <w:sz w:val="28"/>
          <w:szCs w:val="28"/>
          <w:lang w:val="el-GR"/>
        </w:rPr>
        <w:t>αχυδρομικών</w:t>
      </w:r>
      <w:proofErr w:type="spellEnd"/>
      <w:r w:rsidR="00281684" w:rsidRPr="00281684">
        <w:rPr>
          <w:rFonts w:ascii="Bookman Old Style" w:hAnsi="Bookman Old Style"/>
          <w:b/>
          <w:bCs/>
          <w:i/>
          <w:iCs/>
          <w:sz w:val="28"/>
          <w:szCs w:val="28"/>
          <w:lang w:val="el-GR"/>
        </w:rPr>
        <w:t xml:space="preserve"> Υπηρεσιών Νόμων του 2004 έως 2022,</w:t>
      </w:r>
      <w:r w:rsidR="00281684">
        <w:rPr>
          <w:rFonts w:ascii="Bookman Old Style" w:hAnsi="Bookman Old Style"/>
          <w:sz w:val="28"/>
          <w:szCs w:val="28"/>
          <w:lang w:val="el-GR"/>
        </w:rPr>
        <w:t xml:space="preserve"> </w:t>
      </w:r>
      <w:r w:rsidRPr="005E4195">
        <w:rPr>
          <w:rFonts w:ascii="Bookman Old Style" w:hAnsi="Bookman Old Style"/>
          <w:b/>
          <w:bCs/>
          <w:i/>
          <w:iCs/>
          <w:sz w:val="28"/>
          <w:szCs w:val="28"/>
          <w:lang w:val="el-GR"/>
        </w:rPr>
        <w:t>Ν.112(Ι)/2004</w:t>
      </w:r>
      <w:r>
        <w:rPr>
          <w:rFonts w:ascii="Bookman Old Style" w:hAnsi="Bookman Old Style"/>
          <w:sz w:val="28"/>
          <w:szCs w:val="28"/>
          <w:lang w:val="el-GR"/>
        </w:rPr>
        <w:t xml:space="preserve">. </w:t>
      </w:r>
    </w:p>
    <w:p w14:paraId="55FB5632" w14:textId="6299DD5E" w:rsidR="00BD40D0" w:rsidRDefault="00BD40D0"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Για σκοπούς της υπό κρίση διαδικασίας και χωρίς να χρειάζεται να επεκταθώ, θεωρώ ότι ενόψει της εν λόγω απόφασης, εγείρεται εκ πρώτης όψεως συζητήσιμη υπόθεση ως προς το κατά πόσο το προσβαλλόμενο διάταγμα το οποίο εκδόθηκε και αφορά σε δεδομένα δυνάμει του </w:t>
      </w:r>
      <w:r w:rsidRPr="00BD40D0">
        <w:rPr>
          <w:rFonts w:ascii="Bookman Old Style" w:hAnsi="Bookman Old Style"/>
          <w:b/>
          <w:bCs/>
          <w:i/>
          <w:iCs/>
          <w:sz w:val="28"/>
          <w:szCs w:val="28"/>
          <w:lang w:val="el-GR"/>
        </w:rPr>
        <w:t>Ν.183(Ι)/</w:t>
      </w:r>
      <w:r w:rsidR="005E4195">
        <w:rPr>
          <w:rFonts w:ascii="Bookman Old Style" w:hAnsi="Bookman Old Style"/>
          <w:b/>
          <w:bCs/>
          <w:i/>
          <w:iCs/>
          <w:sz w:val="28"/>
          <w:szCs w:val="28"/>
          <w:lang w:val="el-GR"/>
        </w:rPr>
        <w:t>20</w:t>
      </w:r>
      <w:r w:rsidRPr="00BD40D0">
        <w:rPr>
          <w:rFonts w:ascii="Bookman Old Style" w:hAnsi="Bookman Old Style"/>
          <w:b/>
          <w:bCs/>
          <w:i/>
          <w:iCs/>
          <w:sz w:val="28"/>
          <w:szCs w:val="28"/>
          <w:lang w:val="el-GR"/>
        </w:rPr>
        <w:t>07</w:t>
      </w:r>
      <w:r>
        <w:rPr>
          <w:rFonts w:ascii="Bookman Old Style" w:hAnsi="Bookman Old Style"/>
          <w:sz w:val="28"/>
          <w:szCs w:val="28"/>
          <w:lang w:val="el-GR"/>
        </w:rPr>
        <w:t xml:space="preserve">, </w:t>
      </w:r>
      <w:r w:rsidR="00C71062">
        <w:rPr>
          <w:rFonts w:ascii="Bookman Old Style" w:hAnsi="Bookman Old Style"/>
          <w:sz w:val="28"/>
          <w:szCs w:val="28"/>
          <w:lang w:val="el-GR"/>
        </w:rPr>
        <w:t xml:space="preserve">αντιβαίνει την </w:t>
      </w:r>
      <w:proofErr w:type="spellStart"/>
      <w:r w:rsidR="00C71062">
        <w:rPr>
          <w:rFonts w:ascii="Bookman Old Style" w:hAnsi="Bookman Old Style"/>
          <w:sz w:val="28"/>
          <w:szCs w:val="28"/>
          <w:lang w:val="el-GR"/>
        </w:rPr>
        <w:t>ενωσιακή</w:t>
      </w:r>
      <w:proofErr w:type="spellEnd"/>
      <w:r w:rsidR="00C71062">
        <w:rPr>
          <w:rFonts w:ascii="Bookman Old Style" w:hAnsi="Bookman Old Style"/>
          <w:sz w:val="28"/>
          <w:szCs w:val="28"/>
          <w:lang w:val="el-GR"/>
        </w:rPr>
        <w:t xml:space="preserve"> νομοθεσία και νομολογία και </w:t>
      </w:r>
      <w:r w:rsidR="005419C8">
        <w:rPr>
          <w:rFonts w:ascii="Bookman Old Style" w:hAnsi="Bookman Old Style"/>
          <w:sz w:val="28"/>
          <w:szCs w:val="28"/>
          <w:lang w:val="el-GR"/>
        </w:rPr>
        <w:t xml:space="preserve">τις </w:t>
      </w:r>
      <w:r w:rsidR="00C71062">
        <w:rPr>
          <w:rFonts w:ascii="Bookman Old Style" w:hAnsi="Bookman Old Style"/>
          <w:sz w:val="28"/>
          <w:szCs w:val="28"/>
          <w:lang w:val="el-GR"/>
        </w:rPr>
        <w:t xml:space="preserve">ημεδαπές συνταγματικές πρόνοιες. Επομένως, για τους συναφείς λόγους δικαιολογείται η χορήγηση άδειας. </w:t>
      </w:r>
    </w:p>
    <w:p w14:paraId="042113CA" w14:textId="43CE37B7" w:rsidR="00C71062" w:rsidRDefault="00F758A6"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Παρόλο που αυτό το ζήτημα ενδεχομένως να έχει καταλυτικές συνέπειες για την πορεία της δια κλήσεως αίτησης και την ισχύ ή όχι του προσβαλλόμενου διατάγματος, εντούτοις οφείλω να προχωρήσω να </w:t>
      </w:r>
      <w:r>
        <w:rPr>
          <w:rFonts w:ascii="Bookman Old Style" w:hAnsi="Bookman Old Style"/>
          <w:sz w:val="28"/>
          <w:szCs w:val="28"/>
          <w:lang w:val="el-GR"/>
        </w:rPr>
        <w:lastRenderedPageBreak/>
        <w:t>εξετάσω και τους υπόλοιπους λόγους στους οποίους βασίζεται η παρούσα Αίτηση</w:t>
      </w:r>
      <w:r w:rsidR="005419C8">
        <w:rPr>
          <w:rFonts w:ascii="Bookman Old Style" w:hAnsi="Bookman Old Style"/>
          <w:sz w:val="28"/>
          <w:szCs w:val="28"/>
          <w:lang w:val="el-GR"/>
        </w:rPr>
        <w:t xml:space="preserve"> και κατά πόσο αυτοί δικαιολογούν εν πάση περιπτώσει τη χορήγηση άδειας</w:t>
      </w:r>
      <w:r>
        <w:rPr>
          <w:rFonts w:ascii="Bookman Old Style" w:hAnsi="Bookman Old Style"/>
          <w:sz w:val="28"/>
          <w:szCs w:val="28"/>
          <w:lang w:val="el-GR"/>
        </w:rPr>
        <w:t xml:space="preserve">. </w:t>
      </w:r>
    </w:p>
    <w:p w14:paraId="52DAFCBB" w14:textId="593C35C8" w:rsidR="00F758A6" w:rsidRDefault="003E3C30"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Για σκοπούς </w:t>
      </w:r>
      <w:r w:rsidR="00AB3B1B">
        <w:rPr>
          <w:rFonts w:ascii="Bookman Old Style" w:hAnsi="Bookman Old Style"/>
          <w:sz w:val="28"/>
          <w:szCs w:val="28"/>
          <w:lang w:val="el-GR"/>
        </w:rPr>
        <w:t xml:space="preserve">έκδοσης του αιτούμενου διατάγματος, το </w:t>
      </w:r>
      <w:r w:rsidR="00AB3B1B" w:rsidRPr="00AB3B1B">
        <w:rPr>
          <w:rFonts w:ascii="Bookman Old Style" w:hAnsi="Bookman Old Style"/>
          <w:b/>
          <w:bCs/>
          <w:i/>
          <w:iCs/>
          <w:sz w:val="28"/>
          <w:szCs w:val="28"/>
          <w:lang w:val="el-GR"/>
        </w:rPr>
        <w:t>άρθρο 4(4)</w:t>
      </w:r>
      <w:r w:rsidR="00AB3B1B">
        <w:rPr>
          <w:rFonts w:ascii="Bookman Old Style" w:hAnsi="Bookman Old Style"/>
          <w:sz w:val="28"/>
          <w:szCs w:val="28"/>
          <w:lang w:val="el-GR"/>
        </w:rPr>
        <w:t xml:space="preserve"> του </w:t>
      </w:r>
      <w:r w:rsidR="00AB3B1B" w:rsidRPr="00AB3B1B">
        <w:rPr>
          <w:rFonts w:ascii="Bookman Old Style" w:hAnsi="Bookman Old Style"/>
          <w:b/>
          <w:bCs/>
          <w:i/>
          <w:iCs/>
          <w:sz w:val="28"/>
          <w:szCs w:val="28"/>
          <w:lang w:val="el-GR"/>
        </w:rPr>
        <w:t>Ν.183(Ι)/2007</w:t>
      </w:r>
      <w:r w:rsidR="00AB3B1B">
        <w:rPr>
          <w:rFonts w:ascii="Bookman Old Style" w:hAnsi="Bookman Old Style"/>
          <w:sz w:val="28"/>
          <w:szCs w:val="28"/>
          <w:lang w:val="el-GR"/>
        </w:rPr>
        <w:t>, προνοεί πως ο Δικαστής δύναται να εκδώσει το αιτούμενο διάταγμα με τροποποιήσεις ή όρους, εφόσον ικανοποιηθεί ότι με βάση τα γεγονότα τα οποία υποβλήθηκαν</w:t>
      </w:r>
      <w:r w:rsidR="00AB3B1B" w:rsidRPr="00AB3B1B">
        <w:rPr>
          <w:rFonts w:ascii="Bookman Old Style" w:hAnsi="Bookman Old Style"/>
          <w:sz w:val="28"/>
          <w:szCs w:val="28"/>
          <w:lang w:val="el-GR"/>
        </w:rPr>
        <w:t>:</w:t>
      </w:r>
    </w:p>
    <w:p w14:paraId="18BFC3C6" w14:textId="3155E7D6" w:rsidR="00AB3B1B" w:rsidRPr="005544DB" w:rsidRDefault="005544DB" w:rsidP="009F6B85">
      <w:pPr>
        <w:tabs>
          <w:tab w:val="left" w:pos="567"/>
        </w:tabs>
        <w:spacing w:before="240" w:line="240" w:lineRule="auto"/>
        <w:ind w:left="567"/>
        <w:jc w:val="both"/>
        <w:rPr>
          <w:rFonts w:ascii="Bookman Old Style" w:hAnsi="Bookman Old Style"/>
          <w:i/>
          <w:iCs/>
          <w:sz w:val="28"/>
          <w:szCs w:val="28"/>
          <w:lang w:val="el-GR"/>
        </w:rPr>
      </w:pPr>
      <w:r w:rsidRPr="005544DB">
        <w:rPr>
          <w:rFonts w:ascii="Bookman Old Style" w:hAnsi="Bookman Old Style"/>
          <w:sz w:val="28"/>
          <w:szCs w:val="28"/>
          <w:lang w:val="el-GR"/>
        </w:rPr>
        <w:t>«</w:t>
      </w:r>
      <w:r w:rsidR="00AB3B1B" w:rsidRPr="005544DB">
        <w:rPr>
          <w:rFonts w:ascii="Bookman Old Style" w:hAnsi="Bookman Old Style"/>
          <w:i/>
          <w:iCs/>
          <w:sz w:val="28"/>
          <w:szCs w:val="28"/>
          <w:lang w:val="el-GR"/>
        </w:rPr>
        <w:t>(α) Υπάρχει εύλογη υποψία ή πιθανότητα, ότι πρόσωπο διαπράττει, διέπραξε ή αναμένεται να διαπράξει σοβαρό ποινικό αδίκημ</w:t>
      </w:r>
      <w:r w:rsidRPr="005544DB">
        <w:rPr>
          <w:rFonts w:ascii="Bookman Old Style" w:hAnsi="Bookman Old Style"/>
          <w:i/>
          <w:iCs/>
          <w:sz w:val="28"/>
          <w:szCs w:val="28"/>
          <w:lang w:val="el-GR"/>
        </w:rPr>
        <w:t>α·</w:t>
      </w:r>
    </w:p>
    <w:p w14:paraId="5D6AC348" w14:textId="563E68CA" w:rsidR="00F63B0B" w:rsidRPr="00F52D78" w:rsidRDefault="005544DB" w:rsidP="009F6B85">
      <w:pPr>
        <w:tabs>
          <w:tab w:val="left" w:pos="567"/>
        </w:tabs>
        <w:spacing w:before="240" w:after="600" w:line="240" w:lineRule="auto"/>
        <w:ind w:left="567"/>
        <w:jc w:val="both"/>
        <w:rPr>
          <w:rFonts w:ascii="Bookman Old Style" w:hAnsi="Bookman Old Style"/>
          <w:i/>
          <w:iCs/>
          <w:sz w:val="28"/>
          <w:szCs w:val="28"/>
          <w:lang w:val="el-GR"/>
        </w:rPr>
      </w:pPr>
      <w:r w:rsidRPr="005544DB">
        <w:rPr>
          <w:rFonts w:ascii="Bookman Old Style" w:hAnsi="Bookman Old Style"/>
          <w:i/>
          <w:iCs/>
          <w:sz w:val="28"/>
          <w:szCs w:val="28"/>
          <w:lang w:val="el-GR"/>
        </w:rPr>
        <w:t>(β) υπάρχει εύλογη υποψία ή πιθανότητα, ότι συγκεκριμένα δεδομένα συνδέονται ή είναι συναφή με σοβαρό ποινικό αδίκημα.</w:t>
      </w:r>
      <w:r w:rsidRPr="005544DB">
        <w:rPr>
          <w:rFonts w:ascii="Bookman Old Style" w:hAnsi="Bookman Old Style"/>
          <w:sz w:val="28"/>
          <w:szCs w:val="28"/>
          <w:lang w:val="el-GR"/>
        </w:rPr>
        <w:t>»</w:t>
      </w:r>
      <w:r w:rsidRPr="005544DB">
        <w:rPr>
          <w:rFonts w:ascii="Bookman Old Style" w:hAnsi="Bookman Old Style"/>
          <w:i/>
          <w:iCs/>
          <w:sz w:val="28"/>
          <w:szCs w:val="28"/>
          <w:lang w:val="el-GR"/>
        </w:rPr>
        <w:t xml:space="preserve"> </w:t>
      </w:r>
    </w:p>
    <w:p w14:paraId="504A977E" w14:textId="487D4B5D" w:rsidR="00176C11" w:rsidRDefault="00176C11"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Σοβαρό ποινικό αδίκημα ερμηνεύεται στο </w:t>
      </w:r>
      <w:r w:rsidRPr="00176C11">
        <w:rPr>
          <w:rFonts w:ascii="Bookman Old Style" w:hAnsi="Bookman Old Style"/>
          <w:b/>
          <w:bCs/>
          <w:i/>
          <w:iCs/>
          <w:sz w:val="28"/>
          <w:szCs w:val="28"/>
          <w:lang w:val="el-GR"/>
        </w:rPr>
        <w:t>άρθρο 2</w:t>
      </w:r>
      <w:r>
        <w:rPr>
          <w:rFonts w:ascii="Bookman Old Style" w:hAnsi="Bookman Old Style"/>
          <w:sz w:val="28"/>
          <w:szCs w:val="28"/>
          <w:lang w:val="el-GR"/>
        </w:rPr>
        <w:t xml:space="preserve"> του Νόμου ως </w:t>
      </w:r>
      <w:r w:rsidR="00F13363">
        <w:rPr>
          <w:rFonts w:ascii="Bookman Old Style" w:hAnsi="Bookman Old Style"/>
          <w:sz w:val="28"/>
          <w:szCs w:val="28"/>
          <w:lang w:val="el-GR"/>
        </w:rPr>
        <w:t>α</w:t>
      </w:r>
      <w:r>
        <w:rPr>
          <w:rFonts w:ascii="Bookman Old Style" w:hAnsi="Bookman Old Style"/>
          <w:sz w:val="28"/>
          <w:szCs w:val="28"/>
          <w:lang w:val="el-GR"/>
        </w:rPr>
        <w:t xml:space="preserve">δίκημα που καθορίζεται ως κακούργημα σύμφωνα με τις διατάξεις του Ποινικού Κώδικα ή οποιουδήποτε άλλου νόμου ή επιφέρει, σε περίπτωση καταδίκης, μέγιστη ποινή φυλάκισης πέντε ετών και άνω. Επομένως όλα τα υπό διερεύνηση αδικήματα αποτελούν σοβαρά ποινικά αδικήματα εν τη εννοία του Νόμου. </w:t>
      </w:r>
    </w:p>
    <w:p w14:paraId="507F64D1" w14:textId="089F41C0" w:rsidR="00F63B0B" w:rsidRDefault="00EA0936" w:rsidP="009F6B85">
      <w:pPr>
        <w:tabs>
          <w:tab w:val="left" w:pos="567"/>
        </w:tabs>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βάση το πρακτικό του Δικαστηρίου διαφαίνεται κατ’  αρχάς ότι το Δικαστήριο ζήτησε κάποιες διευκρινίσεις σε σχέση με την αίτηση, </w:t>
      </w:r>
      <w:r>
        <w:rPr>
          <w:rFonts w:ascii="Bookman Old Style" w:hAnsi="Bookman Old Style"/>
          <w:sz w:val="28"/>
          <w:szCs w:val="28"/>
          <w:lang w:val="el-GR"/>
        </w:rPr>
        <w:lastRenderedPageBreak/>
        <w:t xml:space="preserve">όπως άλλωστε προβλέπεται από το </w:t>
      </w:r>
      <w:r w:rsidRPr="00EA0936">
        <w:rPr>
          <w:rFonts w:ascii="Bookman Old Style" w:hAnsi="Bookman Old Style"/>
          <w:b/>
          <w:bCs/>
          <w:i/>
          <w:iCs/>
          <w:sz w:val="28"/>
          <w:szCs w:val="28"/>
          <w:lang w:val="el-GR"/>
        </w:rPr>
        <w:t>άρθρο 4(3)</w:t>
      </w:r>
      <w:r>
        <w:rPr>
          <w:rFonts w:ascii="Bookman Old Style" w:hAnsi="Bookman Old Style"/>
          <w:sz w:val="28"/>
          <w:szCs w:val="28"/>
          <w:lang w:val="el-GR"/>
        </w:rPr>
        <w:t xml:space="preserve"> του </w:t>
      </w:r>
      <w:r w:rsidRPr="00EA0936">
        <w:rPr>
          <w:rFonts w:ascii="Bookman Old Style" w:hAnsi="Bookman Old Style"/>
          <w:b/>
          <w:bCs/>
          <w:i/>
          <w:iCs/>
          <w:sz w:val="28"/>
          <w:szCs w:val="28"/>
          <w:lang w:val="el-GR"/>
        </w:rPr>
        <w:t>Ν.183(Ι)/2007</w:t>
      </w:r>
      <w:r>
        <w:rPr>
          <w:rFonts w:ascii="Bookman Old Style" w:hAnsi="Bookman Old Style"/>
          <w:sz w:val="28"/>
          <w:szCs w:val="28"/>
          <w:lang w:val="el-GR"/>
        </w:rPr>
        <w:t xml:space="preserve">. </w:t>
      </w:r>
      <w:r w:rsidR="00F52D78">
        <w:rPr>
          <w:rFonts w:ascii="Bookman Old Style" w:hAnsi="Bookman Old Style"/>
          <w:sz w:val="28"/>
          <w:szCs w:val="28"/>
          <w:lang w:val="el-GR"/>
        </w:rPr>
        <w:t>Μετά που δόθηκαν αυτές οι διευκρινίσεις από τον ενόρκως δηλούντα αστυνομικό, το Δικαστήριο ανέφερε τα εξής</w:t>
      </w:r>
      <w:r w:rsidR="00F52D78" w:rsidRPr="00F52D78">
        <w:rPr>
          <w:rFonts w:ascii="Bookman Old Style" w:hAnsi="Bookman Old Style"/>
          <w:sz w:val="28"/>
          <w:szCs w:val="28"/>
          <w:lang w:val="el-GR"/>
        </w:rPr>
        <w:t>:</w:t>
      </w:r>
    </w:p>
    <w:p w14:paraId="4BF67873" w14:textId="438A2B0E" w:rsidR="00F52D78" w:rsidRPr="005022B0" w:rsidRDefault="00F52D78" w:rsidP="009F6B85">
      <w:pPr>
        <w:tabs>
          <w:tab w:val="left" w:pos="567"/>
        </w:tabs>
        <w:spacing w:before="240" w:line="240" w:lineRule="auto"/>
        <w:ind w:left="567"/>
        <w:jc w:val="both"/>
        <w:rPr>
          <w:rFonts w:ascii="Bookman Old Style" w:hAnsi="Bookman Old Style"/>
          <w:i/>
          <w:iCs/>
          <w:sz w:val="28"/>
          <w:szCs w:val="28"/>
          <w:lang w:val="el-GR"/>
        </w:rPr>
      </w:pPr>
      <w:r w:rsidRPr="005022B0">
        <w:rPr>
          <w:rFonts w:ascii="Bookman Old Style" w:hAnsi="Bookman Old Style"/>
          <w:sz w:val="28"/>
          <w:szCs w:val="28"/>
          <w:lang w:val="el-GR"/>
        </w:rPr>
        <w:t>«</w:t>
      </w:r>
      <w:r w:rsidR="00982C0E" w:rsidRPr="005022B0">
        <w:rPr>
          <w:rFonts w:ascii="Bookman Old Style" w:hAnsi="Bookman Old Style"/>
          <w:i/>
          <w:iCs/>
          <w:sz w:val="28"/>
          <w:szCs w:val="28"/>
          <w:lang w:val="el-GR"/>
        </w:rPr>
        <w:t>Λαμβάνοντας υπόψη τα όσα αναφέρονται στην αίτηση, στην ένορκο δήλωση που τη συνοδεύει και τα όσα αναφέρθηκαν προ ολίγου από τον …., συμπεριλαμβανομένων και των όσων αφορούν την χρονική περίοδο για την οποία ζητούνται τα στοιχεία αλλά και των όσων αναφέρθηκαν αναφορικά με το ότι τα εν λόγω στοιχεία είναι πρόσφατα και εύλογα πιστεύεται ότι διατηρούνται από τους παρόχους υπηρεσιών τηλεπικοινωνιών για νόμιμους σκοπούς και …, έχω ικανοποιηθεί ότι υπάρχει εύλογη υποψία ότι τα πρόσωπα που αναφέρονται στην ένορκη δήλωση διέπραξαν τα υπό διερεύνηση πέντε σοβαρά ποινικά αδικήματα που αναφέρονται στην αίτηση, τα οποία εμπίπτουν στις πρόνοιες του αρ. 17(2Γ) και ότι τα συγκεκριμένα δεδομένα στα οποία αφορά η αίτηση συνδέονται με τα συγκεκριμένα υπό διερεύνηση ποινικά αδικήματα και συνεπώς κρίνω ότι δικαιολογείται η έκδοση του αιτούμενου διατάγματος.</w:t>
      </w:r>
      <w:r w:rsidR="00982C0E" w:rsidRPr="005022B0">
        <w:rPr>
          <w:rFonts w:ascii="Bookman Old Style" w:hAnsi="Bookman Old Style"/>
          <w:sz w:val="28"/>
          <w:szCs w:val="28"/>
          <w:lang w:val="el-GR"/>
        </w:rPr>
        <w:t>»</w:t>
      </w:r>
    </w:p>
    <w:p w14:paraId="080896E0" w14:textId="77777777" w:rsidR="001722E3" w:rsidRDefault="001722E3" w:rsidP="009F6B85">
      <w:pPr>
        <w:spacing w:line="240" w:lineRule="auto"/>
        <w:ind w:firstLine="567"/>
        <w:jc w:val="both"/>
        <w:rPr>
          <w:rFonts w:ascii="Bookman Old Style" w:hAnsi="Bookman Old Style"/>
          <w:sz w:val="28"/>
          <w:szCs w:val="28"/>
          <w:lang w:val="el-GR"/>
        </w:rPr>
      </w:pPr>
    </w:p>
    <w:p w14:paraId="17641A59" w14:textId="77A4852B" w:rsidR="00BD214E" w:rsidRDefault="005023FA"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Σύμφωνα με τα </w:t>
      </w:r>
      <w:r w:rsidR="00BD214E">
        <w:rPr>
          <w:rFonts w:ascii="Bookman Old Style" w:hAnsi="Bookman Old Style"/>
          <w:sz w:val="28"/>
          <w:szCs w:val="28"/>
          <w:lang w:val="el-GR"/>
        </w:rPr>
        <w:t xml:space="preserve">όσα ανέφερε το Δικαστήριο, προκύπτει πως το ίδιο διεξήλθε της αίτησης και της ένορκης δήλωσης που το συνόδευε και έκρινε ότι ικανοποιούνταν οι προϋποθέσεις του </w:t>
      </w:r>
      <w:r w:rsidR="00BD214E" w:rsidRPr="00BD214E">
        <w:rPr>
          <w:rFonts w:ascii="Bookman Old Style" w:hAnsi="Bookman Old Style"/>
          <w:b/>
          <w:bCs/>
          <w:i/>
          <w:iCs/>
          <w:sz w:val="28"/>
          <w:szCs w:val="28"/>
          <w:lang w:val="el-GR"/>
        </w:rPr>
        <w:t>άρθρου 4(</w:t>
      </w:r>
      <w:r w:rsidR="00DF236A">
        <w:rPr>
          <w:rFonts w:ascii="Bookman Old Style" w:hAnsi="Bookman Old Style"/>
          <w:b/>
          <w:bCs/>
          <w:i/>
          <w:iCs/>
          <w:sz w:val="28"/>
          <w:szCs w:val="28"/>
          <w:lang w:val="el-GR"/>
        </w:rPr>
        <w:t>4</w:t>
      </w:r>
      <w:r w:rsidR="00BD214E" w:rsidRPr="00BD214E">
        <w:rPr>
          <w:rFonts w:ascii="Bookman Old Style" w:hAnsi="Bookman Old Style"/>
          <w:b/>
          <w:bCs/>
          <w:i/>
          <w:iCs/>
          <w:sz w:val="28"/>
          <w:szCs w:val="28"/>
          <w:lang w:val="el-GR"/>
        </w:rPr>
        <w:t>)</w:t>
      </w:r>
      <w:r w:rsidR="00BD214E">
        <w:rPr>
          <w:rFonts w:ascii="Bookman Old Style" w:hAnsi="Bookman Old Style"/>
          <w:sz w:val="28"/>
          <w:szCs w:val="28"/>
          <w:lang w:val="el-GR"/>
        </w:rPr>
        <w:t xml:space="preserve"> του </w:t>
      </w:r>
      <w:r w:rsidR="00BD214E" w:rsidRPr="00BD214E">
        <w:rPr>
          <w:rFonts w:ascii="Bookman Old Style" w:hAnsi="Bookman Old Style"/>
          <w:b/>
          <w:bCs/>
          <w:i/>
          <w:iCs/>
          <w:sz w:val="28"/>
          <w:szCs w:val="28"/>
          <w:lang w:val="el-GR"/>
        </w:rPr>
        <w:t>Ν.183(Ι)/2007</w:t>
      </w:r>
      <w:r w:rsidR="00563407">
        <w:rPr>
          <w:rFonts w:ascii="Bookman Old Style" w:hAnsi="Bookman Old Style"/>
          <w:b/>
          <w:bCs/>
          <w:i/>
          <w:iCs/>
          <w:sz w:val="28"/>
          <w:szCs w:val="28"/>
          <w:lang w:val="el-GR"/>
        </w:rPr>
        <w:t xml:space="preserve"> </w:t>
      </w:r>
      <w:r w:rsidR="00BD214E">
        <w:rPr>
          <w:rFonts w:ascii="Bookman Old Style" w:hAnsi="Bookman Old Style"/>
          <w:b/>
          <w:bCs/>
          <w:i/>
          <w:iCs/>
          <w:sz w:val="28"/>
          <w:szCs w:val="28"/>
          <w:lang w:val="el-GR"/>
        </w:rPr>
        <w:t xml:space="preserve"> </w:t>
      </w:r>
      <w:r w:rsidR="00BD214E">
        <w:rPr>
          <w:rFonts w:ascii="Bookman Old Style" w:hAnsi="Bookman Old Style"/>
          <w:sz w:val="28"/>
          <w:szCs w:val="28"/>
          <w:lang w:val="el-GR"/>
        </w:rPr>
        <w:t>για την έκδοση του αιτούμενου διατάγματος. Επομένως, η εισήγηση πως το Δικαστήριο «</w:t>
      </w:r>
      <w:r w:rsidR="00BD214E" w:rsidRPr="00BD214E">
        <w:rPr>
          <w:rFonts w:ascii="Bookman Old Style" w:hAnsi="Bookman Old Style"/>
          <w:i/>
          <w:iCs/>
          <w:sz w:val="28"/>
          <w:szCs w:val="28"/>
          <w:lang w:val="el-GR"/>
        </w:rPr>
        <w:t xml:space="preserve">δεν φαίνεται να προέβη το ίδιο σε εκτίμηση του υλικού που τέθηκε ενώπιον του, προκειμένου να εξάγει τα δικά του συμπεράσματα για το αν δημιουργείτο η απαιτούμενη από το Νόμο </w:t>
      </w:r>
      <w:r w:rsidR="00BD214E" w:rsidRPr="00BD214E">
        <w:rPr>
          <w:rFonts w:ascii="Bookman Old Style" w:hAnsi="Bookman Old Style"/>
          <w:i/>
          <w:iCs/>
          <w:sz w:val="28"/>
          <w:szCs w:val="28"/>
          <w:lang w:val="el-GR"/>
        </w:rPr>
        <w:lastRenderedPageBreak/>
        <w:t>«εύλογος υποψία»</w:t>
      </w:r>
      <w:r w:rsidR="00BD214E">
        <w:rPr>
          <w:rFonts w:ascii="Bookman Old Style" w:hAnsi="Bookman Old Style"/>
          <w:sz w:val="28"/>
          <w:szCs w:val="28"/>
          <w:lang w:val="el-GR"/>
        </w:rPr>
        <w:t xml:space="preserve">» δεν βρίσκει έρεισμα στο περιεχόμενο του ίδιου του </w:t>
      </w:r>
      <w:r w:rsidR="0061059D">
        <w:rPr>
          <w:rFonts w:ascii="Bookman Old Style" w:hAnsi="Bookman Old Style"/>
          <w:sz w:val="28"/>
          <w:szCs w:val="28"/>
          <w:lang w:val="el-GR"/>
        </w:rPr>
        <w:t>διατάγματος</w:t>
      </w:r>
      <w:r w:rsidR="00BD214E">
        <w:rPr>
          <w:rFonts w:ascii="Bookman Old Style" w:hAnsi="Bookman Old Style"/>
          <w:sz w:val="28"/>
          <w:szCs w:val="28"/>
          <w:lang w:val="el-GR"/>
        </w:rPr>
        <w:t xml:space="preserve">. </w:t>
      </w:r>
    </w:p>
    <w:p w14:paraId="08E48AE1" w14:textId="7D95AD17" w:rsidR="0061059D" w:rsidRDefault="0061059D" w:rsidP="009F6B85">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Τα γεγονότα, όπως αυτά εκτίθεντο στην ένορκη δήλωση που συνόδευε την αίτηση, πράγματι αποκάλυπταν εύλογη υποψία περί της σύνδεσης τόσο του Αιτητή όσο και του περιεχομένου της επικοινωνίας με τα υπό διερεύνηση αδικήματα. </w:t>
      </w:r>
      <w:r w:rsidR="00FD1702">
        <w:rPr>
          <w:rFonts w:ascii="Bookman Old Style" w:hAnsi="Bookman Old Style"/>
          <w:sz w:val="28"/>
          <w:szCs w:val="28"/>
          <w:lang w:val="el-GR"/>
        </w:rPr>
        <w:t xml:space="preserve">Στην ένορκη δήλωση γίνεται περιγραφή των συνθηκών εντοπισμού του θύματος, τα ευρήματα για τα αίτια θανάτου του από τις εξετάσεις ιατροδικαστών και των ερευνών που </w:t>
      </w:r>
      <w:proofErr w:type="spellStart"/>
      <w:r w:rsidR="00FD1702">
        <w:rPr>
          <w:rFonts w:ascii="Bookman Old Style" w:hAnsi="Bookman Old Style"/>
          <w:sz w:val="28"/>
          <w:szCs w:val="28"/>
          <w:lang w:val="el-GR"/>
        </w:rPr>
        <w:t>διεξάγοντο</w:t>
      </w:r>
      <w:proofErr w:type="spellEnd"/>
      <w:r w:rsidR="00FD1702">
        <w:rPr>
          <w:rFonts w:ascii="Bookman Old Style" w:hAnsi="Bookman Old Style"/>
          <w:sz w:val="28"/>
          <w:szCs w:val="28"/>
          <w:lang w:val="el-GR"/>
        </w:rPr>
        <w:t xml:space="preserve"> στο πλαίσιο διερεύνησης των </w:t>
      </w:r>
      <w:r w:rsidR="00F13363">
        <w:rPr>
          <w:rFonts w:ascii="Bookman Old Style" w:hAnsi="Bookman Old Style"/>
          <w:sz w:val="28"/>
          <w:szCs w:val="28"/>
          <w:lang w:val="el-GR"/>
        </w:rPr>
        <w:t xml:space="preserve">προαναφερόμενων </w:t>
      </w:r>
      <w:r w:rsidR="00FD1702">
        <w:rPr>
          <w:rFonts w:ascii="Bookman Old Style" w:hAnsi="Bookman Old Style"/>
          <w:sz w:val="28"/>
          <w:szCs w:val="28"/>
          <w:lang w:val="el-GR"/>
        </w:rPr>
        <w:t xml:space="preserve">αδικημάτων του φόνου εκ προμελέτης, </w:t>
      </w:r>
      <w:r w:rsidR="00F13363">
        <w:rPr>
          <w:rFonts w:ascii="Bookman Old Style" w:hAnsi="Bookman Old Style"/>
          <w:sz w:val="28"/>
          <w:szCs w:val="28"/>
          <w:lang w:val="el-GR"/>
        </w:rPr>
        <w:t>χρήση</w:t>
      </w:r>
      <w:r w:rsidR="00DF236A">
        <w:rPr>
          <w:rFonts w:ascii="Bookman Old Style" w:hAnsi="Bookman Old Style"/>
          <w:sz w:val="28"/>
          <w:szCs w:val="28"/>
          <w:lang w:val="el-GR"/>
        </w:rPr>
        <w:t>ς</w:t>
      </w:r>
      <w:r w:rsidR="00F13363">
        <w:rPr>
          <w:rFonts w:ascii="Bookman Old Style" w:hAnsi="Bookman Old Style"/>
          <w:sz w:val="28"/>
          <w:szCs w:val="28"/>
          <w:lang w:val="el-GR"/>
        </w:rPr>
        <w:t xml:space="preserve"> πυροβόλων όπλων, </w:t>
      </w:r>
      <w:r w:rsidR="00FD1702">
        <w:rPr>
          <w:rFonts w:ascii="Bookman Old Style" w:hAnsi="Bookman Old Style"/>
          <w:sz w:val="28"/>
          <w:szCs w:val="28"/>
          <w:lang w:val="el-GR"/>
        </w:rPr>
        <w:t xml:space="preserve">εμπρησμού και άλλων. </w:t>
      </w:r>
      <w:r w:rsidR="00537A96">
        <w:rPr>
          <w:rFonts w:ascii="Bookman Old Style" w:hAnsi="Bookman Old Style"/>
          <w:sz w:val="28"/>
          <w:szCs w:val="28"/>
          <w:lang w:val="el-GR"/>
        </w:rPr>
        <w:t>Σ</w:t>
      </w:r>
      <w:r w:rsidR="00FD1702">
        <w:rPr>
          <w:rFonts w:ascii="Bookman Old Style" w:hAnsi="Bookman Old Style"/>
          <w:sz w:val="28"/>
          <w:szCs w:val="28"/>
          <w:lang w:val="el-GR"/>
        </w:rPr>
        <w:t>την ένορκη δήλωση</w:t>
      </w:r>
      <w:r w:rsidR="00537A96">
        <w:rPr>
          <w:rFonts w:ascii="Bookman Old Style" w:hAnsi="Bookman Old Style"/>
          <w:sz w:val="28"/>
          <w:szCs w:val="28"/>
          <w:lang w:val="el-GR"/>
        </w:rPr>
        <w:t xml:space="preserve">, με βάση τα στοιχεία τα οποία κατείχε μέχρι τότε η Αστυνομία, </w:t>
      </w:r>
      <w:r w:rsidR="00FD1702">
        <w:rPr>
          <w:rFonts w:ascii="Bookman Old Style" w:hAnsi="Bookman Old Style"/>
          <w:sz w:val="28"/>
          <w:szCs w:val="28"/>
          <w:lang w:val="el-GR"/>
        </w:rPr>
        <w:t xml:space="preserve">αναφέρονται </w:t>
      </w:r>
      <w:r w:rsidR="009D2684">
        <w:rPr>
          <w:rFonts w:ascii="Bookman Old Style" w:hAnsi="Bookman Old Style"/>
          <w:sz w:val="28"/>
          <w:szCs w:val="28"/>
          <w:lang w:val="el-GR"/>
        </w:rPr>
        <w:t xml:space="preserve">επίσης </w:t>
      </w:r>
      <w:r w:rsidR="00FD1702">
        <w:rPr>
          <w:rFonts w:ascii="Bookman Old Style" w:hAnsi="Bookman Old Style"/>
          <w:sz w:val="28"/>
          <w:szCs w:val="28"/>
          <w:lang w:val="el-GR"/>
        </w:rPr>
        <w:t xml:space="preserve">οι κινήσεις των δραστών από την προηγούμενη μέρα του φόνου μέχρι και </w:t>
      </w:r>
      <w:r w:rsidR="00515327">
        <w:rPr>
          <w:rFonts w:ascii="Bookman Old Style" w:hAnsi="Bookman Old Style"/>
          <w:sz w:val="28"/>
          <w:szCs w:val="28"/>
          <w:lang w:val="el-GR"/>
        </w:rPr>
        <w:t xml:space="preserve">λίγες μέρες αργότερα, στις οποίες φαίνεται να εμπλέκεται και ο Αιτητής. Γίνεται επίσης αναφορά σε επιπρόσθετα στοιχεία τα οποία καταδεικνύουν ότι πρόκειται για ένα οργανωμένο και καλά σχεδιασμένο σχέδιο δράσης και εξηγείται γιατί εύλογα πιστεύεται πως οι δράστες χρησιμοποιούσαν κινητά τηλέφωνα για την οργάνωση και εκτέλεση των υπό διερεύνηση αδικημάτων. </w:t>
      </w:r>
    </w:p>
    <w:p w14:paraId="386D65E4" w14:textId="2F95E4F8" w:rsidR="00515327" w:rsidRDefault="00515327" w:rsidP="009F6B85">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Το περιεχόμενο της ένορκης δήλωσης, όπως αυτό εκτιμήθηκε από το Δικαστήριο, ήταν ικανό να καταδείξει την εύλογη υποψία και πιθανότητα προς ικανοποίηση των προνοιών του Νόμου για την έκδοση του διατάγματος. </w:t>
      </w:r>
    </w:p>
    <w:p w14:paraId="05FDB51C" w14:textId="0EDA0CF1" w:rsidR="00515327" w:rsidRDefault="00DF236A"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Σ</w:t>
      </w:r>
      <w:r w:rsidR="00223B06">
        <w:rPr>
          <w:rFonts w:ascii="Bookman Old Style" w:hAnsi="Bookman Old Style"/>
          <w:sz w:val="28"/>
          <w:szCs w:val="28"/>
          <w:lang w:val="el-GR"/>
        </w:rPr>
        <w:t>το εκδοθέν διάταγμα υπάρχει περιγραφή των αιτούμενων δεδομένων, ήτοι τηλεφωνικοί αριθμοί, στοιχεία των συνδρομητών και κατόχων συγκεκριμένων τηλεφωνικών αριθμών, αριθμο</w:t>
      </w:r>
      <w:r w:rsidR="00563407">
        <w:rPr>
          <w:rFonts w:ascii="Bookman Old Style" w:hAnsi="Bookman Old Style"/>
          <w:sz w:val="28"/>
          <w:szCs w:val="28"/>
          <w:lang w:val="el-GR"/>
        </w:rPr>
        <w:t>ί</w:t>
      </w:r>
      <w:r w:rsidR="00223B06">
        <w:rPr>
          <w:rFonts w:ascii="Bookman Old Style" w:hAnsi="Bookman Old Style"/>
          <w:sz w:val="28"/>
          <w:szCs w:val="28"/>
          <w:lang w:val="el-GR"/>
        </w:rPr>
        <w:t xml:space="preserve"> συσκευών τηλεφώνων στις οποίες χρησιμοποιήθηκαν οι ανωτέρω αριθμοί και ακολούθως κατάσταση κλήσεων και μηνυμάτων και </w:t>
      </w:r>
      <w:r w:rsidR="000D0EAA">
        <w:rPr>
          <w:rFonts w:ascii="Bookman Old Style" w:hAnsi="Bookman Old Style"/>
          <w:sz w:val="28"/>
          <w:szCs w:val="28"/>
          <w:lang w:val="el-GR"/>
        </w:rPr>
        <w:t xml:space="preserve">άλλα στοιχεία. Τα δύο τελευταία αιτούμενα στοιχεία αναφέρονται σε συγκεκριμένη χρονική περίοδο ή σε συγκεκριμένες ημερομηνίες και ώρες, οι οποίες κυμαίνονται μεταξύ 1.9.2023 μέχρι και τις 4.11.2023. Επιπλέον, </w:t>
      </w:r>
      <w:r w:rsidR="00392EE0">
        <w:rPr>
          <w:rFonts w:ascii="Bookman Old Style" w:hAnsi="Bookman Old Style"/>
          <w:sz w:val="28"/>
          <w:szCs w:val="28"/>
          <w:lang w:val="el-GR"/>
        </w:rPr>
        <w:t>στο ίδιο το διάταγμα αναφέρεται ότι η έκδοση του γίνεται για την εξασφάλιση των προαναφερόμενων δεδομένων «</w:t>
      </w:r>
      <w:r w:rsidR="00392EE0" w:rsidRPr="00392EE0">
        <w:rPr>
          <w:rFonts w:ascii="Bookman Old Style" w:hAnsi="Bookman Old Style"/>
          <w:i/>
          <w:iCs/>
          <w:sz w:val="28"/>
          <w:szCs w:val="28"/>
          <w:lang w:val="el-GR"/>
        </w:rPr>
        <w:t>και τα οποία έχουν σχέση με τη διερεύνηση των πιο κάτω σοβαρών αδικημάτων</w:t>
      </w:r>
      <w:r w:rsidR="00392EE0">
        <w:rPr>
          <w:rFonts w:ascii="Bookman Old Style" w:hAnsi="Bookman Old Style"/>
          <w:sz w:val="28"/>
          <w:szCs w:val="28"/>
          <w:lang w:val="el-GR"/>
        </w:rPr>
        <w:t>» τα οποία κατονομάζονται, ήτοι συνωμοσία για φόνο, φόνο</w:t>
      </w:r>
      <w:r>
        <w:rPr>
          <w:rFonts w:ascii="Bookman Old Style" w:hAnsi="Bookman Old Style"/>
          <w:sz w:val="28"/>
          <w:szCs w:val="28"/>
          <w:lang w:val="el-GR"/>
        </w:rPr>
        <w:t>ς</w:t>
      </w:r>
      <w:r w:rsidR="00392EE0">
        <w:rPr>
          <w:rFonts w:ascii="Bookman Old Style" w:hAnsi="Bookman Old Style"/>
          <w:sz w:val="28"/>
          <w:szCs w:val="28"/>
          <w:lang w:val="el-GR"/>
        </w:rPr>
        <w:t xml:space="preserve"> εκ προμελέτης, κατοχή, μεταφορά και χρήση πυροβόλων όπλων και εκρηκτικών υλών και εμπρησμός οχήματος. </w:t>
      </w:r>
    </w:p>
    <w:p w14:paraId="0CC25D3C" w14:textId="03C0FCD9" w:rsidR="00392EE0" w:rsidRDefault="00392EE0"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lastRenderedPageBreak/>
        <w:t xml:space="preserve">Επομένως, προκύπτει πως το διάταγμα περιορίζει την εξασφάλιση των δεδομένων στον βαθμό που αυτά συνδέονται με τα υπό διερεύνηση αδικήματα και αφορούν καθορισμένη χρονική περίοδο, κατά την οποία φέρεται να οργανώθηκε και υλοποιήθηκε η διάπραξη των υπό διερεύνηση αδικημάτων. </w:t>
      </w:r>
    </w:p>
    <w:p w14:paraId="34DAEB38" w14:textId="77777777" w:rsidR="00392EE0" w:rsidRDefault="00392EE0"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Ως εκ τούτου ο λόγος στον οποίο στηρίζεται η Αίτηση πως δόθηκε γενική πρόσβαση σε καταγεγραμμένο περιεχόμενο «</w:t>
      </w:r>
      <w:r w:rsidRPr="00563407">
        <w:rPr>
          <w:rFonts w:ascii="Bookman Old Style" w:hAnsi="Bookman Old Style"/>
          <w:i/>
          <w:iCs/>
          <w:sz w:val="28"/>
          <w:szCs w:val="28"/>
          <w:lang w:val="el-GR"/>
        </w:rPr>
        <w:t>χωρίς να τίθεται οποιαδήποτε συγκεκριμένη χρονική περίοδος και ούτε ποια δεδομένα είναι αναγκαία για το υπό διερεύνηση αδίκημα</w:t>
      </w:r>
      <w:r>
        <w:rPr>
          <w:rFonts w:ascii="Bookman Old Style" w:hAnsi="Bookman Old Style"/>
          <w:sz w:val="28"/>
          <w:szCs w:val="28"/>
          <w:lang w:val="el-GR"/>
        </w:rPr>
        <w:t xml:space="preserve">», κρίνεται αβάσιμος. </w:t>
      </w:r>
    </w:p>
    <w:p w14:paraId="204B492D" w14:textId="7EA902BC" w:rsidR="00392EE0" w:rsidRDefault="00392EE0"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Η πιο πάνω διαπίστωση καθιστά αβάσιμους και τους λόγους που αφορούν στο ότι το προσβαλλόμενο διάταγμα αφορά «</w:t>
      </w:r>
      <w:r w:rsidRPr="00C12252">
        <w:rPr>
          <w:rFonts w:ascii="Bookman Old Style" w:hAnsi="Bookman Old Style"/>
          <w:i/>
          <w:iCs/>
          <w:sz w:val="28"/>
          <w:szCs w:val="28"/>
          <w:lang w:val="el-GR"/>
        </w:rPr>
        <w:t>όλα αυθαίρετα και γενικώς πρόσωπα τα οποία ουδεμία σχέση και/ή ανάμειξη είχαν με το υπό εξέταση αδίκημα</w:t>
      </w:r>
      <w:r>
        <w:rPr>
          <w:rFonts w:ascii="Bookman Old Style" w:hAnsi="Bookman Old Style"/>
          <w:sz w:val="28"/>
          <w:szCs w:val="28"/>
          <w:lang w:val="el-GR"/>
        </w:rPr>
        <w:t>».</w:t>
      </w:r>
    </w:p>
    <w:p w14:paraId="0B3CCA61" w14:textId="38F6E846" w:rsidR="000F358D" w:rsidRPr="00AB4697" w:rsidRDefault="000F358D" w:rsidP="009F6B85">
      <w:pPr>
        <w:tabs>
          <w:tab w:val="left" w:pos="567"/>
        </w:tabs>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λόγος </w:t>
      </w:r>
      <w:r w:rsidR="00DF236A">
        <w:rPr>
          <w:rFonts w:ascii="Bookman Old Style" w:hAnsi="Bookman Old Style"/>
          <w:sz w:val="28"/>
          <w:szCs w:val="28"/>
          <w:lang w:val="el-GR"/>
        </w:rPr>
        <w:t xml:space="preserve">στον οποίο </w:t>
      </w:r>
      <w:r w:rsidR="0076331E">
        <w:rPr>
          <w:rFonts w:ascii="Bookman Old Style" w:hAnsi="Bookman Old Style"/>
          <w:sz w:val="28"/>
          <w:szCs w:val="28"/>
          <w:lang w:val="el-GR"/>
        </w:rPr>
        <w:t>στηρί</w:t>
      </w:r>
      <w:r w:rsidR="00DF236A">
        <w:rPr>
          <w:rFonts w:ascii="Bookman Old Style" w:hAnsi="Bookman Old Style"/>
          <w:sz w:val="28"/>
          <w:szCs w:val="28"/>
          <w:lang w:val="el-GR"/>
        </w:rPr>
        <w:t xml:space="preserve">ζεται η Αίτηση και αφορά </w:t>
      </w:r>
      <w:r>
        <w:rPr>
          <w:rFonts w:ascii="Bookman Old Style" w:hAnsi="Bookman Old Style"/>
          <w:sz w:val="28"/>
          <w:szCs w:val="28"/>
          <w:lang w:val="el-GR"/>
        </w:rPr>
        <w:t xml:space="preserve">στον </w:t>
      </w:r>
      <w:r w:rsidRPr="007C6EAD">
        <w:rPr>
          <w:rFonts w:ascii="Bookman Old Style" w:hAnsi="Bookman Old Style"/>
          <w:b/>
          <w:bCs/>
          <w:i/>
          <w:iCs/>
          <w:sz w:val="28"/>
          <w:szCs w:val="28"/>
          <w:lang w:val="el-GR"/>
        </w:rPr>
        <w:t>περί Προστασίας του Απορρήτου της Ιδιωτικής Επικοινωνίας (Παρακολούθηση Συνδιαλέξεων και Πρόσβαση σε Καταγεγραμμένο Περιεχόμενο Ιδιωτικής Επικοινωνίας) Νόμου του 1996, Ν.92(Ι)/1996</w:t>
      </w:r>
      <w:r>
        <w:rPr>
          <w:rFonts w:ascii="Bookman Old Style" w:hAnsi="Bookman Old Style"/>
          <w:sz w:val="28"/>
          <w:szCs w:val="28"/>
          <w:lang w:val="el-GR"/>
        </w:rPr>
        <w:t>, δεν κρίνεται βάσιμος</w:t>
      </w:r>
      <w:r w:rsidR="00563407">
        <w:rPr>
          <w:rFonts w:ascii="Bookman Old Style" w:hAnsi="Bookman Old Style"/>
          <w:sz w:val="28"/>
          <w:szCs w:val="28"/>
          <w:lang w:val="el-GR"/>
        </w:rPr>
        <w:t>,</w:t>
      </w:r>
      <w:r>
        <w:rPr>
          <w:rFonts w:ascii="Bookman Old Style" w:hAnsi="Bookman Old Style"/>
          <w:sz w:val="28"/>
          <w:szCs w:val="28"/>
          <w:lang w:val="el-GR"/>
        </w:rPr>
        <w:t xml:space="preserve"> εφόσον τόσο η αίτηση όσο και το διάταγμα δεν στηρίχθηκαν σε αυτόν. Όπως λέχθηκε στην </w:t>
      </w:r>
      <w:r>
        <w:rPr>
          <w:rFonts w:ascii="Bookman Old Style" w:hAnsi="Bookman Old Style"/>
          <w:sz w:val="28"/>
          <w:szCs w:val="28"/>
          <w:lang w:val="el-GR"/>
        </w:rPr>
        <w:lastRenderedPageBreak/>
        <w:t xml:space="preserve">υπόθεση </w:t>
      </w:r>
      <w:r w:rsidRPr="008953A5">
        <w:rPr>
          <w:rFonts w:ascii="Bookman Old Style" w:hAnsi="Bookman Old Style"/>
          <w:b/>
          <w:bCs/>
          <w:i/>
          <w:iCs/>
          <w:sz w:val="28"/>
          <w:szCs w:val="28"/>
          <w:lang w:val="el-GR"/>
        </w:rPr>
        <w:t xml:space="preserve">Αναφορικά με την Αίτηση του Α.Α. και Χ.Τ., Πολ. Έφεση Αρ. 272/2001, </w:t>
      </w:r>
      <w:proofErr w:type="spellStart"/>
      <w:r w:rsidRPr="008953A5">
        <w:rPr>
          <w:rFonts w:ascii="Bookman Old Style" w:hAnsi="Bookman Old Style"/>
          <w:b/>
          <w:bCs/>
          <w:i/>
          <w:iCs/>
          <w:sz w:val="28"/>
          <w:szCs w:val="28"/>
          <w:lang w:val="el-GR"/>
        </w:rPr>
        <w:t>ημερ</w:t>
      </w:r>
      <w:proofErr w:type="spellEnd"/>
      <w:r w:rsidRPr="008953A5">
        <w:rPr>
          <w:rFonts w:ascii="Bookman Old Style" w:hAnsi="Bookman Old Style"/>
          <w:b/>
          <w:bCs/>
          <w:i/>
          <w:iCs/>
          <w:sz w:val="28"/>
          <w:szCs w:val="28"/>
          <w:lang w:val="el-GR"/>
        </w:rPr>
        <w:t>. 13.10.2022</w:t>
      </w:r>
      <w:r>
        <w:rPr>
          <w:rFonts w:ascii="Bookman Old Style" w:hAnsi="Bookman Old Style"/>
          <w:sz w:val="28"/>
          <w:szCs w:val="28"/>
          <w:lang w:val="el-GR"/>
        </w:rPr>
        <w:t xml:space="preserve">, οι </w:t>
      </w:r>
      <w:r w:rsidRPr="000F358D">
        <w:rPr>
          <w:rFonts w:ascii="Bookman Old Style" w:hAnsi="Bookman Old Style"/>
          <w:b/>
          <w:bCs/>
          <w:i/>
          <w:iCs/>
          <w:sz w:val="28"/>
          <w:szCs w:val="28"/>
          <w:lang w:val="el-GR"/>
        </w:rPr>
        <w:t>Νόμοι</w:t>
      </w:r>
      <w:r>
        <w:rPr>
          <w:rFonts w:ascii="Bookman Old Style" w:hAnsi="Bookman Old Style"/>
          <w:sz w:val="28"/>
          <w:szCs w:val="28"/>
          <w:lang w:val="el-GR"/>
        </w:rPr>
        <w:t xml:space="preserve"> </w:t>
      </w:r>
      <w:r w:rsidRPr="000F358D">
        <w:rPr>
          <w:rFonts w:ascii="Bookman Old Style" w:hAnsi="Bookman Old Style"/>
          <w:b/>
          <w:bCs/>
          <w:i/>
          <w:iCs/>
          <w:sz w:val="28"/>
          <w:szCs w:val="28"/>
          <w:lang w:val="el-GR"/>
        </w:rPr>
        <w:t>92(Ι)/2996</w:t>
      </w:r>
      <w:r>
        <w:rPr>
          <w:rFonts w:ascii="Bookman Old Style" w:hAnsi="Bookman Old Style"/>
          <w:sz w:val="28"/>
          <w:szCs w:val="28"/>
          <w:lang w:val="el-GR"/>
        </w:rPr>
        <w:t xml:space="preserve"> και </w:t>
      </w:r>
      <w:r w:rsidRPr="000F358D">
        <w:rPr>
          <w:rFonts w:ascii="Bookman Old Style" w:hAnsi="Bookman Old Style"/>
          <w:b/>
          <w:bCs/>
          <w:i/>
          <w:iCs/>
          <w:sz w:val="28"/>
          <w:szCs w:val="28"/>
          <w:lang w:val="el-GR"/>
        </w:rPr>
        <w:t>183(Ι)/2007</w:t>
      </w:r>
      <w:r>
        <w:rPr>
          <w:rFonts w:ascii="Bookman Old Style" w:hAnsi="Bookman Old Style"/>
          <w:sz w:val="28"/>
          <w:szCs w:val="28"/>
          <w:lang w:val="el-GR"/>
        </w:rPr>
        <w:t xml:space="preserve"> είναι διακριτοί και ρυθμίζουν διαφορετικά ζητήματα. Σχετικό είναι το ακόλουθο απόσπασμα</w:t>
      </w:r>
      <w:r w:rsidRPr="00AB4697">
        <w:rPr>
          <w:rFonts w:ascii="Bookman Old Style" w:hAnsi="Bookman Old Style"/>
          <w:sz w:val="28"/>
          <w:szCs w:val="28"/>
          <w:lang w:val="el-GR"/>
        </w:rPr>
        <w:t>:</w:t>
      </w:r>
    </w:p>
    <w:p w14:paraId="362C9640" w14:textId="77777777" w:rsidR="000F358D" w:rsidRPr="00AB4697" w:rsidRDefault="000F358D" w:rsidP="009F6B85">
      <w:pPr>
        <w:spacing w:line="240" w:lineRule="auto"/>
        <w:ind w:left="567"/>
        <w:jc w:val="both"/>
        <w:rPr>
          <w:rFonts w:ascii="Bookman Old Style" w:eastAsia="Times New Roman" w:hAnsi="Bookman Old Style" w:cs="Arial"/>
          <w:i/>
          <w:iCs/>
          <w:color w:val="000000"/>
          <w:kern w:val="0"/>
          <w:sz w:val="28"/>
          <w:szCs w:val="28"/>
          <w:lang w:val="el-GR"/>
          <w14:ligatures w14:val="none"/>
        </w:rPr>
      </w:pPr>
      <w:r w:rsidRPr="00AB4697">
        <w:rPr>
          <w:rFonts w:ascii="Bookman Old Style" w:hAnsi="Bookman Old Style"/>
          <w:sz w:val="28"/>
          <w:szCs w:val="28"/>
          <w:lang w:val="el-GR"/>
        </w:rPr>
        <w:t>«</w:t>
      </w:r>
      <w:r w:rsidRPr="00AB4697">
        <w:rPr>
          <w:rFonts w:ascii="Bookman Old Style" w:eastAsia="Times New Roman" w:hAnsi="Bookman Old Style" w:cs="Times New Roman"/>
          <w:i/>
          <w:iCs/>
          <w:color w:val="000000"/>
          <w:kern w:val="0"/>
          <w:sz w:val="28"/>
          <w:szCs w:val="28"/>
          <w:lang w:val="el-GR"/>
          <w14:ligatures w14:val="none"/>
        </w:rPr>
        <w:t>Οι πρόνοιες του συγκεκριμένου νόμου δεν μπορεί να αποτελέσουν τη νομική βάση αίτησης επί της οποίας να εκδοθεί δικαστικό ένταλμα το οποίο να εξουσιοδοτεί την πρόσβαση σε «καταγεγραμμένο περιεχόμενο ιδιωτικής επικοινωνίας»,</w:t>
      </w:r>
      <w:r w:rsidRPr="00AB4697">
        <w:rPr>
          <w:rFonts w:ascii="Bookman Old Style" w:eastAsia="Times New Roman" w:hAnsi="Bookman Old Style" w:cs="Times New Roman"/>
          <w:i/>
          <w:iCs/>
          <w:color w:val="000000"/>
          <w:kern w:val="0"/>
          <w:sz w:val="28"/>
          <w:szCs w:val="28"/>
          <w14:ligatures w14:val="none"/>
        </w:rPr>
        <w:t> </w:t>
      </w:r>
      <w:r w:rsidRPr="00AB4697">
        <w:rPr>
          <w:rFonts w:ascii="Bookman Old Style" w:eastAsia="Times New Roman" w:hAnsi="Bookman Old Style" w:cs="Times New Roman"/>
          <w:i/>
          <w:iCs/>
          <w:color w:val="000000"/>
          <w:kern w:val="0"/>
          <w:sz w:val="28"/>
          <w:szCs w:val="28"/>
          <w:lang w:val="el-GR"/>
          <w14:ligatures w14:val="none"/>
        </w:rPr>
        <w:t>όπως αναφέρεται στο</w:t>
      </w:r>
      <w:r w:rsidRPr="00AB4697">
        <w:rPr>
          <w:rFonts w:ascii="Bookman Old Style" w:eastAsia="Times New Roman" w:hAnsi="Bookman Old Style" w:cs="Times New Roman"/>
          <w:i/>
          <w:iCs/>
          <w:color w:val="000000"/>
          <w:kern w:val="0"/>
          <w:sz w:val="28"/>
          <w:szCs w:val="28"/>
          <w14:ligatures w14:val="none"/>
        </w:rPr>
        <w:t> </w:t>
      </w:r>
      <w:r w:rsidRPr="00AB4697">
        <w:rPr>
          <w:rFonts w:ascii="Bookman Old Style" w:eastAsia="Times New Roman" w:hAnsi="Bookman Old Style" w:cs="Times New Roman"/>
          <w:b/>
          <w:bCs/>
          <w:i/>
          <w:iCs/>
          <w:color w:val="000000"/>
          <w:kern w:val="0"/>
          <w:sz w:val="28"/>
          <w:szCs w:val="28"/>
          <w:lang w:val="el-GR"/>
          <w14:ligatures w14:val="none"/>
        </w:rPr>
        <w:t>άρθρο 21(1) του Νόμου 92(</w:t>
      </w:r>
      <w:r w:rsidRPr="00AB4697">
        <w:rPr>
          <w:rFonts w:ascii="Bookman Old Style" w:eastAsia="Times New Roman" w:hAnsi="Bookman Old Style" w:cs="Times New Roman"/>
          <w:b/>
          <w:bCs/>
          <w:i/>
          <w:iCs/>
          <w:color w:val="000000"/>
          <w:kern w:val="0"/>
          <w:sz w:val="28"/>
          <w:szCs w:val="28"/>
          <w14:ligatures w14:val="none"/>
        </w:rPr>
        <w:t>I</w:t>
      </w:r>
      <w:r w:rsidRPr="00AB4697">
        <w:rPr>
          <w:rFonts w:ascii="Bookman Old Style" w:eastAsia="Times New Roman" w:hAnsi="Bookman Old Style" w:cs="Times New Roman"/>
          <w:b/>
          <w:bCs/>
          <w:i/>
          <w:iCs/>
          <w:color w:val="000000"/>
          <w:kern w:val="0"/>
          <w:sz w:val="28"/>
          <w:szCs w:val="28"/>
          <w:lang w:val="el-GR"/>
          <w14:ligatures w14:val="none"/>
        </w:rPr>
        <w:t>)/1996.</w:t>
      </w:r>
      <w:r w:rsidRPr="00AB4697">
        <w:rPr>
          <w:rFonts w:ascii="Bookman Old Style" w:eastAsia="Times New Roman" w:hAnsi="Bookman Old Style" w:cs="Times New Roman"/>
          <w:i/>
          <w:iCs/>
          <w:color w:val="000000"/>
          <w:kern w:val="0"/>
          <w:sz w:val="28"/>
          <w:szCs w:val="28"/>
          <w14:ligatures w14:val="none"/>
        </w:rPr>
        <w:t> </w:t>
      </w:r>
      <w:r w:rsidRPr="00AB4697">
        <w:rPr>
          <w:rFonts w:ascii="Bookman Old Style" w:eastAsia="Times New Roman" w:hAnsi="Bookman Old Style" w:cs="Times New Roman"/>
          <w:i/>
          <w:iCs/>
          <w:color w:val="000000"/>
          <w:kern w:val="0"/>
          <w:sz w:val="28"/>
          <w:szCs w:val="28"/>
          <w:lang w:val="el-GR"/>
          <w14:ligatures w14:val="none"/>
        </w:rPr>
        <w:t>Ο κάθε ένας, από τους δύο προαναφερθέντες Νόμους, ρυθμίζει διαφορετικά θέματα. Υποστήριξη, προς τούτο, παρέχεται στο</w:t>
      </w:r>
      <w:r w:rsidRPr="00AB4697">
        <w:rPr>
          <w:rFonts w:ascii="Bookman Old Style" w:eastAsia="Times New Roman" w:hAnsi="Bookman Old Style" w:cs="Times New Roman"/>
          <w:i/>
          <w:iCs/>
          <w:color w:val="000000"/>
          <w:kern w:val="0"/>
          <w:sz w:val="28"/>
          <w:szCs w:val="28"/>
          <w14:ligatures w14:val="none"/>
        </w:rPr>
        <w:t> </w:t>
      </w:r>
      <w:r w:rsidRPr="00AB4697">
        <w:rPr>
          <w:rFonts w:ascii="Bookman Old Style" w:eastAsia="Times New Roman" w:hAnsi="Bookman Old Style" w:cs="Times New Roman"/>
          <w:b/>
          <w:bCs/>
          <w:i/>
          <w:iCs/>
          <w:color w:val="000000"/>
          <w:kern w:val="0"/>
          <w:sz w:val="28"/>
          <w:szCs w:val="28"/>
          <w:lang w:val="el-GR"/>
          <w14:ligatures w14:val="none"/>
        </w:rPr>
        <w:t>άρθρο 22, του Ν.183(1)/2007.</w:t>
      </w:r>
      <w:r w:rsidRPr="00AB4697">
        <w:rPr>
          <w:rFonts w:ascii="Bookman Old Style" w:eastAsia="Times New Roman" w:hAnsi="Bookman Old Style" w:cs="Times New Roman"/>
          <w:b/>
          <w:bCs/>
          <w:i/>
          <w:iCs/>
          <w:color w:val="000000"/>
          <w:kern w:val="0"/>
          <w:sz w:val="28"/>
          <w:szCs w:val="28"/>
          <w14:ligatures w14:val="none"/>
        </w:rPr>
        <w:t> </w:t>
      </w:r>
      <w:r w:rsidRPr="00AB4697">
        <w:rPr>
          <w:rFonts w:ascii="Bookman Old Style" w:eastAsia="Times New Roman" w:hAnsi="Bookman Old Style" w:cs="Times New Roman"/>
          <w:i/>
          <w:iCs/>
          <w:color w:val="000000"/>
          <w:kern w:val="0"/>
          <w:sz w:val="28"/>
          <w:szCs w:val="28"/>
          <w:lang w:val="el-GR"/>
          <w14:ligatures w14:val="none"/>
        </w:rPr>
        <w:t>Σύμφωνα με αυτό, «Τίποτα στον παρόντα Νόμο δεν επηρεάζει ούτε μπορεί να θεωρηθεί ότι επηρεάζει την εφαρμογή των διατάξεων του περί Προστασίας του Απορρήτου της Ιδιωτικής Επικοινωνίας (Παρακολούθηση Συνδιαλέξεων) Νόμου».</w:t>
      </w:r>
      <w:r w:rsidRPr="00AB4697">
        <w:rPr>
          <w:rFonts w:ascii="Bookman Old Style" w:eastAsia="Times New Roman" w:hAnsi="Bookman Old Style" w:cs="Times New Roman"/>
          <w:i/>
          <w:iCs/>
          <w:color w:val="000000"/>
          <w:kern w:val="0"/>
          <w:sz w:val="28"/>
          <w:szCs w:val="28"/>
          <w14:ligatures w14:val="none"/>
        </w:rPr>
        <w:t> </w:t>
      </w:r>
      <w:r w:rsidRPr="00AB4697">
        <w:rPr>
          <w:rFonts w:ascii="Bookman Old Style" w:eastAsia="Times New Roman" w:hAnsi="Bookman Old Style" w:cs="Times New Roman"/>
          <w:i/>
          <w:iCs/>
          <w:color w:val="000000"/>
          <w:kern w:val="0"/>
          <w:sz w:val="28"/>
          <w:szCs w:val="28"/>
          <w:lang w:val="el-GR"/>
          <w14:ligatures w14:val="none"/>
        </w:rPr>
        <w:t>Η πρόνοια, ανωτέρω, εκφράζει τη θέληση του Νομοθέτη, όπως οι δύο Νόμοι εφαρμόζονται ξεχωριστά, ο ένας από τον άλλο.</w:t>
      </w:r>
      <w:r w:rsidRPr="00AB4697">
        <w:rPr>
          <w:rFonts w:ascii="Bookman Old Style" w:eastAsia="Times New Roman" w:hAnsi="Bookman Old Style" w:cs="Times New Roman"/>
          <w:color w:val="000000"/>
          <w:kern w:val="0"/>
          <w:sz w:val="28"/>
          <w:szCs w:val="28"/>
          <w:lang w:val="el-GR"/>
          <w14:ligatures w14:val="none"/>
        </w:rPr>
        <w:t>»</w:t>
      </w:r>
    </w:p>
    <w:p w14:paraId="678CD2C4" w14:textId="77777777" w:rsidR="000F358D" w:rsidRPr="00AB4697" w:rsidRDefault="000F358D" w:rsidP="009F6B85">
      <w:pPr>
        <w:spacing w:after="0" w:line="240" w:lineRule="auto"/>
        <w:ind w:left="720" w:firstLine="567"/>
        <w:jc w:val="both"/>
        <w:rPr>
          <w:rFonts w:ascii="Bookman Old Style" w:eastAsia="Times New Roman" w:hAnsi="Bookman Old Style" w:cs="Arial"/>
          <w:i/>
          <w:iCs/>
          <w:color w:val="000000"/>
          <w:kern w:val="0"/>
          <w:sz w:val="28"/>
          <w:szCs w:val="28"/>
          <w:lang w:val="el-GR"/>
          <w14:ligatures w14:val="none"/>
        </w:rPr>
      </w:pPr>
      <w:r w:rsidRPr="00AB4697">
        <w:rPr>
          <w:rFonts w:ascii="Bookman Old Style" w:eastAsia="Times New Roman" w:hAnsi="Bookman Old Style" w:cs="Times New Roman"/>
          <w:b/>
          <w:bCs/>
          <w:i/>
          <w:iCs/>
          <w:color w:val="000000"/>
          <w:kern w:val="0"/>
          <w:sz w:val="28"/>
          <w:szCs w:val="28"/>
          <w14:ligatures w14:val="none"/>
        </w:rPr>
        <w:t> </w:t>
      </w:r>
    </w:p>
    <w:p w14:paraId="7E5CA753" w14:textId="7444EA2D" w:rsidR="00865009" w:rsidRDefault="00865009" w:rsidP="009F6B85">
      <w:pPr>
        <w:spacing w:before="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Τόσο η αίτηση όσο και το διάταγμα </w:t>
      </w:r>
      <w:proofErr w:type="spellStart"/>
      <w:r>
        <w:rPr>
          <w:rFonts w:ascii="Bookman Old Style" w:hAnsi="Bookman Old Style"/>
          <w:sz w:val="28"/>
          <w:szCs w:val="28"/>
          <w:lang w:val="el-GR"/>
        </w:rPr>
        <w:t>βασίζοντ</w:t>
      </w:r>
      <w:r w:rsidR="00C73290">
        <w:rPr>
          <w:rFonts w:ascii="Bookman Old Style" w:hAnsi="Bookman Old Style"/>
          <w:sz w:val="28"/>
          <w:szCs w:val="28"/>
          <w:lang w:val="el-GR"/>
        </w:rPr>
        <w:t>ο</w:t>
      </w:r>
      <w:proofErr w:type="spellEnd"/>
      <w:r>
        <w:rPr>
          <w:rFonts w:ascii="Bookman Old Style" w:hAnsi="Bookman Old Style"/>
          <w:sz w:val="28"/>
          <w:szCs w:val="28"/>
          <w:lang w:val="el-GR"/>
        </w:rPr>
        <w:t xml:space="preserve"> και </w:t>
      </w:r>
      <w:r w:rsidR="00832BFC">
        <w:rPr>
          <w:rFonts w:ascii="Bookman Old Style" w:hAnsi="Bookman Old Style"/>
          <w:sz w:val="28"/>
          <w:szCs w:val="28"/>
          <w:lang w:val="el-GR"/>
        </w:rPr>
        <w:t xml:space="preserve">στον </w:t>
      </w:r>
      <w:r w:rsidR="00832BFC" w:rsidRPr="00832BFC">
        <w:rPr>
          <w:rFonts w:ascii="Bookman Old Style" w:hAnsi="Bookman Old Style"/>
          <w:b/>
          <w:bCs/>
          <w:i/>
          <w:iCs/>
          <w:sz w:val="28"/>
          <w:szCs w:val="28"/>
          <w:lang w:val="el-GR"/>
        </w:rPr>
        <w:t>περί Ρυθμίσεως Ηλεκτρονικών Επικοινωνιών και Ταχυδρομικών Υπηρεσιών Νόμους του 2004 έως 2022, Ν.112(Ι)/2004</w:t>
      </w:r>
      <w:r>
        <w:rPr>
          <w:rFonts w:ascii="Bookman Old Style" w:hAnsi="Bookman Old Style"/>
          <w:sz w:val="28"/>
          <w:szCs w:val="28"/>
          <w:lang w:val="el-GR"/>
        </w:rPr>
        <w:t xml:space="preserve">, και ειδικότερα στα </w:t>
      </w:r>
      <w:r w:rsidRPr="00865009">
        <w:rPr>
          <w:rFonts w:ascii="Bookman Old Style" w:hAnsi="Bookman Old Style"/>
          <w:b/>
          <w:bCs/>
          <w:i/>
          <w:iCs/>
          <w:sz w:val="28"/>
          <w:szCs w:val="28"/>
          <w:lang w:val="el-GR"/>
        </w:rPr>
        <w:t>άρθρα 100(1)</w:t>
      </w:r>
      <w:r>
        <w:rPr>
          <w:rFonts w:ascii="Bookman Old Style" w:hAnsi="Bookman Old Style"/>
          <w:sz w:val="28"/>
          <w:szCs w:val="28"/>
          <w:lang w:val="el-GR"/>
        </w:rPr>
        <w:t xml:space="preserve"> και </w:t>
      </w:r>
      <w:r w:rsidRPr="00865009">
        <w:rPr>
          <w:rFonts w:ascii="Bookman Old Style" w:hAnsi="Bookman Old Style"/>
          <w:b/>
          <w:bCs/>
          <w:i/>
          <w:iCs/>
          <w:sz w:val="28"/>
          <w:szCs w:val="28"/>
          <w:lang w:val="el-GR"/>
        </w:rPr>
        <w:t>101</w:t>
      </w:r>
      <w:r>
        <w:rPr>
          <w:rFonts w:ascii="Bookman Old Style" w:hAnsi="Bookman Old Style"/>
          <w:sz w:val="28"/>
          <w:szCs w:val="28"/>
          <w:lang w:val="el-GR"/>
        </w:rPr>
        <w:t xml:space="preserve">. </w:t>
      </w:r>
      <w:r w:rsidR="00A714D7">
        <w:rPr>
          <w:rFonts w:ascii="Bookman Old Style" w:hAnsi="Bookman Old Style"/>
          <w:sz w:val="28"/>
          <w:szCs w:val="28"/>
          <w:lang w:val="el-GR"/>
        </w:rPr>
        <w:t xml:space="preserve">Τα εν λόγω άρθρα εμπίπτουν εντός του </w:t>
      </w:r>
      <w:r w:rsidR="00A714D7" w:rsidRPr="00A714D7">
        <w:rPr>
          <w:rFonts w:ascii="Bookman Old Style" w:hAnsi="Bookman Old Style"/>
          <w:b/>
          <w:bCs/>
          <w:i/>
          <w:iCs/>
          <w:sz w:val="28"/>
          <w:szCs w:val="28"/>
          <w:lang w:val="el-GR"/>
        </w:rPr>
        <w:t>Μέρους 14</w:t>
      </w:r>
      <w:r w:rsidR="00A714D7">
        <w:rPr>
          <w:rFonts w:ascii="Bookman Old Style" w:hAnsi="Bookman Old Style"/>
          <w:sz w:val="28"/>
          <w:szCs w:val="28"/>
          <w:lang w:val="el-GR"/>
        </w:rPr>
        <w:t xml:space="preserve"> του Νόμου, το οποίο τιτλοφορείται «</w:t>
      </w:r>
      <w:r w:rsidR="00A714D7" w:rsidRPr="00A714D7">
        <w:rPr>
          <w:rFonts w:ascii="Bookman Old Style" w:hAnsi="Bookman Old Style"/>
          <w:i/>
          <w:iCs/>
          <w:sz w:val="28"/>
          <w:szCs w:val="28"/>
          <w:lang w:val="el-GR"/>
        </w:rPr>
        <w:t>Ασφάλεια και Ακεραιότητα Δικτύων και Υπηρεσιών &amp; Ασφάλεια, Απόρρητο και Προστασία Δεδομένων</w:t>
      </w:r>
      <w:r w:rsidR="00A714D7">
        <w:rPr>
          <w:rFonts w:ascii="Bookman Old Style" w:hAnsi="Bookman Old Style"/>
          <w:sz w:val="28"/>
          <w:szCs w:val="28"/>
          <w:lang w:val="el-GR"/>
        </w:rPr>
        <w:t xml:space="preserve">». </w:t>
      </w:r>
      <w:r>
        <w:rPr>
          <w:rFonts w:ascii="Bookman Old Style" w:hAnsi="Bookman Old Style"/>
          <w:sz w:val="28"/>
          <w:szCs w:val="28"/>
          <w:lang w:val="el-GR"/>
        </w:rPr>
        <w:t xml:space="preserve">Αυτά </w:t>
      </w:r>
      <w:r w:rsidR="00563407">
        <w:rPr>
          <w:rFonts w:ascii="Bookman Old Style" w:hAnsi="Bookman Old Style"/>
          <w:sz w:val="28"/>
          <w:szCs w:val="28"/>
          <w:lang w:val="el-GR"/>
        </w:rPr>
        <w:t xml:space="preserve">ουσιαστικά </w:t>
      </w:r>
      <w:r>
        <w:rPr>
          <w:rFonts w:ascii="Bookman Old Style" w:hAnsi="Bookman Old Style"/>
          <w:sz w:val="28"/>
          <w:szCs w:val="28"/>
          <w:lang w:val="el-GR"/>
        </w:rPr>
        <w:t xml:space="preserve">ρυθμίζουν τη διαδικασία </w:t>
      </w:r>
      <w:r w:rsidR="00563407">
        <w:rPr>
          <w:rFonts w:ascii="Bookman Old Style" w:hAnsi="Bookman Old Style"/>
          <w:sz w:val="28"/>
          <w:szCs w:val="28"/>
          <w:lang w:val="el-GR"/>
        </w:rPr>
        <w:t xml:space="preserve">κατά και </w:t>
      </w:r>
      <w:r>
        <w:rPr>
          <w:rFonts w:ascii="Bookman Old Style" w:hAnsi="Bookman Old Style"/>
          <w:sz w:val="28"/>
          <w:szCs w:val="28"/>
          <w:lang w:val="el-GR"/>
        </w:rPr>
        <w:t>μετά την επεξεργασία δεδομένων κίνησης χρέωσης και θέσης</w:t>
      </w:r>
      <w:r w:rsidR="00A714D7">
        <w:rPr>
          <w:rFonts w:ascii="Bookman Old Style" w:hAnsi="Bookman Old Style"/>
          <w:sz w:val="28"/>
          <w:szCs w:val="28"/>
          <w:lang w:val="el-GR"/>
        </w:rPr>
        <w:t xml:space="preserve"> από</w:t>
      </w:r>
      <w:r w:rsidR="00A81589">
        <w:rPr>
          <w:rFonts w:ascii="Bookman Old Style" w:hAnsi="Bookman Old Style"/>
          <w:sz w:val="28"/>
          <w:szCs w:val="28"/>
          <w:lang w:val="el-GR"/>
        </w:rPr>
        <w:t xml:space="preserve"> </w:t>
      </w:r>
      <w:r w:rsidR="00A81589">
        <w:rPr>
          <w:rFonts w:ascii="Bookman Old Style" w:hAnsi="Bookman Old Style"/>
          <w:sz w:val="28"/>
          <w:szCs w:val="28"/>
          <w:lang w:val="el-GR"/>
        </w:rPr>
        <w:lastRenderedPageBreak/>
        <w:t xml:space="preserve">συγκεκριμένα άτομα, συμπεριλαμβανομένων και των </w:t>
      </w:r>
      <w:proofErr w:type="spellStart"/>
      <w:r w:rsidR="00A81589">
        <w:rPr>
          <w:rFonts w:ascii="Bookman Old Style" w:hAnsi="Bookman Old Style"/>
          <w:sz w:val="28"/>
          <w:szCs w:val="28"/>
          <w:lang w:val="el-GR"/>
        </w:rPr>
        <w:t>παρόχων</w:t>
      </w:r>
      <w:proofErr w:type="spellEnd"/>
      <w:r w:rsidR="00A81589">
        <w:rPr>
          <w:rFonts w:ascii="Bookman Old Style" w:hAnsi="Bookman Old Style"/>
          <w:sz w:val="28"/>
          <w:szCs w:val="28"/>
          <w:lang w:val="el-GR"/>
        </w:rPr>
        <w:t xml:space="preserve"> των υπηρεσιών τηλεφωνίας</w:t>
      </w:r>
      <w:r w:rsidR="0088780D">
        <w:rPr>
          <w:rFonts w:ascii="Bookman Old Style" w:hAnsi="Bookman Old Style"/>
          <w:sz w:val="28"/>
          <w:szCs w:val="28"/>
          <w:lang w:val="el-GR"/>
        </w:rPr>
        <w:t>.</w:t>
      </w:r>
      <w:r>
        <w:rPr>
          <w:rFonts w:ascii="Bookman Old Style" w:hAnsi="Bookman Old Style"/>
          <w:sz w:val="28"/>
          <w:szCs w:val="28"/>
          <w:lang w:val="el-GR"/>
        </w:rPr>
        <w:t xml:space="preserve"> </w:t>
      </w:r>
      <w:r w:rsidR="0088780D">
        <w:rPr>
          <w:rFonts w:ascii="Bookman Old Style" w:hAnsi="Bookman Old Style"/>
          <w:sz w:val="28"/>
          <w:szCs w:val="28"/>
          <w:lang w:val="el-GR"/>
        </w:rPr>
        <w:t>Ε</w:t>
      </w:r>
      <w:r>
        <w:rPr>
          <w:rFonts w:ascii="Bookman Old Style" w:hAnsi="Bookman Old Style"/>
          <w:sz w:val="28"/>
          <w:szCs w:val="28"/>
          <w:lang w:val="el-GR"/>
        </w:rPr>
        <w:t>πομένως</w:t>
      </w:r>
      <w:r w:rsidR="0088780D">
        <w:rPr>
          <w:rFonts w:ascii="Bookman Old Style" w:hAnsi="Bookman Old Style"/>
          <w:sz w:val="28"/>
          <w:szCs w:val="28"/>
          <w:lang w:val="el-GR"/>
        </w:rPr>
        <w:t xml:space="preserve">, αυτά δεν παρέχουν εξουσία για την έκδοση του αιτούμενου διατάγματος, όμως </w:t>
      </w:r>
      <w:r>
        <w:rPr>
          <w:rFonts w:ascii="Bookman Old Style" w:hAnsi="Bookman Old Style"/>
          <w:sz w:val="28"/>
          <w:szCs w:val="28"/>
          <w:lang w:val="el-GR"/>
        </w:rPr>
        <w:t xml:space="preserve">έχουν απόλυτη σχέση με το αιτούμενο και εκδοθέν διάταγμα και αποσκοπούν στη διαφύλαξη και προστασία τόσο των δεδομένων όσο και των συνδρομητών. </w:t>
      </w:r>
      <w:r w:rsidR="00F0622B">
        <w:rPr>
          <w:rFonts w:ascii="Bookman Old Style" w:hAnsi="Bookman Old Style"/>
          <w:sz w:val="28"/>
          <w:szCs w:val="28"/>
          <w:lang w:val="el-GR"/>
        </w:rPr>
        <w:t xml:space="preserve">Η </w:t>
      </w:r>
      <w:r w:rsidR="00F0622B" w:rsidRPr="00F0622B">
        <w:rPr>
          <w:rFonts w:ascii="Bookman Old Style" w:hAnsi="Bookman Old Style"/>
          <w:b/>
          <w:bCs/>
          <w:i/>
          <w:iCs/>
          <w:sz w:val="28"/>
          <w:szCs w:val="28"/>
          <w:lang w:val="el-GR"/>
        </w:rPr>
        <w:t>Κ.Δ.Π.607/2007</w:t>
      </w:r>
      <w:r w:rsidR="00F0622B">
        <w:rPr>
          <w:rFonts w:ascii="Bookman Old Style" w:hAnsi="Bookman Old Style"/>
          <w:sz w:val="28"/>
          <w:szCs w:val="28"/>
          <w:lang w:val="el-GR"/>
        </w:rPr>
        <w:t>, η οποία θεσπίστηκε δυνάμει, μεταξύ άλλων</w:t>
      </w:r>
      <w:r w:rsidR="00F82F4C">
        <w:rPr>
          <w:rFonts w:ascii="Bookman Old Style" w:hAnsi="Bookman Old Style"/>
          <w:sz w:val="28"/>
          <w:szCs w:val="28"/>
          <w:lang w:val="el-GR"/>
        </w:rPr>
        <w:t>,</w:t>
      </w:r>
      <w:r w:rsidR="00F0622B">
        <w:rPr>
          <w:rFonts w:ascii="Bookman Old Style" w:hAnsi="Bookman Old Style"/>
          <w:sz w:val="28"/>
          <w:szCs w:val="28"/>
          <w:lang w:val="el-GR"/>
        </w:rPr>
        <w:t xml:space="preserve"> του </w:t>
      </w:r>
      <w:r w:rsidR="00F0622B" w:rsidRPr="00F0622B">
        <w:rPr>
          <w:rFonts w:ascii="Bookman Old Style" w:hAnsi="Bookman Old Style"/>
          <w:b/>
          <w:bCs/>
          <w:i/>
          <w:iCs/>
          <w:sz w:val="28"/>
          <w:szCs w:val="28"/>
          <w:lang w:val="el-GR"/>
        </w:rPr>
        <w:t>άρθρου 100</w:t>
      </w:r>
      <w:r w:rsidR="00F0622B">
        <w:rPr>
          <w:rFonts w:ascii="Bookman Old Style" w:hAnsi="Bookman Old Style"/>
          <w:sz w:val="28"/>
          <w:szCs w:val="28"/>
          <w:lang w:val="el-GR"/>
        </w:rPr>
        <w:t xml:space="preserve"> του </w:t>
      </w:r>
      <w:r w:rsidR="00F0622B" w:rsidRPr="00F0622B">
        <w:rPr>
          <w:rFonts w:ascii="Bookman Old Style" w:hAnsi="Bookman Old Style"/>
          <w:b/>
          <w:bCs/>
          <w:i/>
          <w:iCs/>
          <w:sz w:val="28"/>
          <w:szCs w:val="28"/>
          <w:lang w:val="el-GR"/>
        </w:rPr>
        <w:t>Ν.112(Ι)/2004</w:t>
      </w:r>
      <w:r w:rsidR="00F0622B">
        <w:rPr>
          <w:rFonts w:ascii="Bookman Old Style" w:hAnsi="Bookman Old Style"/>
          <w:sz w:val="28"/>
          <w:szCs w:val="28"/>
          <w:lang w:val="el-GR"/>
        </w:rPr>
        <w:t xml:space="preserve"> </w:t>
      </w:r>
      <w:r w:rsidR="00107665">
        <w:rPr>
          <w:rFonts w:ascii="Bookman Old Style" w:hAnsi="Bookman Old Style"/>
          <w:sz w:val="28"/>
          <w:szCs w:val="28"/>
          <w:lang w:val="el-GR"/>
        </w:rPr>
        <w:t>αναφέρει</w:t>
      </w:r>
      <w:r w:rsidR="001F7227">
        <w:rPr>
          <w:rFonts w:ascii="Bookman Old Style" w:hAnsi="Bookman Old Style"/>
          <w:sz w:val="28"/>
          <w:szCs w:val="28"/>
          <w:lang w:val="el-GR"/>
        </w:rPr>
        <w:t xml:space="preserve"> </w:t>
      </w:r>
      <w:r w:rsidR="00107665">
        <w:rPr>
          <w:rFonts w:ascii="Bookman Old Style" w:hAnsi="Bookman Old Style"/>
          <w:sz w:val="28"/>
          <w:szCs w:val="28"/>
          <w:lang w:val="el-GR"/>
        </w:rPr>
        <w:t xml:space="preserve">ρητώς </w:t>
      </w:r>
      <w:r w:rsidR="001F7227">
        <w:rPr>
          <w:rFonts w:ascii="Bookman Old Style" w:hAnsi="Bookman Old Style"/>
          <w:sz w:val="28"/>
          <w:szCs w:val="28"/>
          <w:lang w:val="el-GR"/>
        </w:rPr>
        <w:t>π</w:t>
      </w:r>
      <w:r w:rsidR="00107665">
        <w:rPr>
          <w:rFonts w:ascii="Bookman Old Style" w:hAnsi="Bookman Old Style"/>
          <w:sz w:val="28"/>
          <w:szCs w:val="28"/>
          <w:lang w:val="el-GR"/>
        </w:rPr>
        <w:t xml:space="preserve">ως αφορά στην υποχρέωση φύλαξης και επεξεργασίας των δεδομένων κίνησης των </w:t>
      </w:r>
      <w:r w:rsidR="001F7227">
        <w:rPr>
          <w:rFonts w:ascii="Bookman Old Style" w:hAnsi="Bookman Old Style"/>
          <w:sz w:val="28"/>
          <w:szCs w:val="28"/>
          <w:lang w:val="el-GR"/>
        </w:rPr>
        <w:t xml:space="preserve">συνδρομητών </w:t>
      </w:r>
      <w:r w:rsidR="00107665">
        <w:rPr>
          <w:rFonts w:ascii="Bookman Old Style" w:hAnsi="Bookman Old Style"/>
          <w:sz w:val="28"/>
          <w:szCs w:val="28"/>
          <w:lang w:val="el-GR"/>
        </w:rPr>
        <w:t>και ή χρηστών</w:t>
      </w:r>
      <w:r w:rsidR="001F7227">
        <w:rPr>
          <w:rFonts w:ascii="Bookman Old Style" w:hAnsi="Bookman Old Style"/>
          <w:sz w:val="28"/>
          <w:szCs w:val="28"/>
          <w:lang w:val="el-GR"/>
        </w:rPr>
        <w:t xml:space="preserve"> και θέτει υποχρεώσεις και χρόνο φύλαξης δεδομένων κίνησης.</w:t>
      </w:r>
      <w:r w:rsidR="00F0622B">
        <w:rPr>
          <w:rFonts w:ascii="Bookman Old Style" w:hAnsi="Bookman Old Style"/>
          <w:sz w:val="28"/>
          <w:szCs w:val="28"/>
          <w:lang w:val="el-GR"/>
        </w:rPr>
        <w:t xml:space="preserve"> </w:t>
      </w:r>
      <w:r w:rsidR="001F7227">
        <w:rPr>
          <w:rFonts w:ascii="Bookman Old Style" w:hAnsi="Bookman Old Style"/>
          <w:sz w:val="28"/>
          <w:szCs w:val="28"/>
          <w:lang w:val="el-GR"/>
        </w:rPr>
        <w:t xml:space="preserve">Στην Αιτιολογική Έκθεση αναφέρεται ότι ο σκοπός του Κανονισμού ήταν η ευθυγράμμιση με τις σχετικές Ευρωπαϊκές Οδηγίες ως προς τον καθορισμό της υποχρέωσης αποθήκευσης και επεξεργασίας δεδομένων για περίοδο έξι μηνών για σκοπούς του </w:t>
      </w:r>
      <w:r w:rsidR="001F7227" w:rsidRPr="001F7227">
        <w:rPr>
          <w:rFonts w:ascii="Bookman Old Style" w:hAnsi="Bookman Old Style"/>
          <w:b/>
          <w:bCs/>
          <w:i/>
          <w:iCs/>
          <w:sz w:val="28"/>
          <w:szCs w:val="28"/>
          <w:lang w:val="el-GR"/>
        </w:rPr>
        <w:t>άρθρου 100(1)</w:t>
      </w:r>
      <w:r w:rsidR="001F7227">
        <w:rPr>
          <w:rFonts w:ascii="Bookman Old Style" w:hAnsi="Bookman Old Style"/>
          <w:sz w:val="28"/>
          <w:szCs w:val="28"/>
          <w:lang w:val="el-GR"/>
        </w:rPr>
        <w:t xml:space="preserve">. </w:t>
      </w:r>
      <w:r>
        <w:rPr>
          <w:rFonts w:ascii="Bookman Old Style" w:hAnsi="Bookman Old Style"/>
          <w:sz w:val="28"/>
          <w:szCs w:val="28"/>
          <w:lang w:val="el-GR"/>
        </w:rPr>
        <w:t>Ως εκ τούτου η συμπερίληψη και αναφορά στον εν λόγω Νόμο</w:t>
      </w:r>
      <w:r w:rsidR="0088780D">
        <w:rPr>
          <w:rFonts w:ascii="Bookman Old Style" w:hAnsi="Bookman Old Style"/>
          <w:sz w:val="28"/>
          <w:szCs w:val="28"/>
          <w:lang w:val="el-GR"/>
        </w:rPr>
        <w:t xml:space="preserve"> </w:t>
      </w:r>
      <w:r w:rsidR="001F7227">
        <w:rPr>
          <w:rFonts w:ascii="Bookman Old Style" w:hAnsi="Bookman Old Style"/>
          <w:sz w:val="28"/>
          <w:szCs w:val="28"/>
          <w:lang w:val="el-GR"/>
        </w:rPr>
        <w:t xml:space="preserve">και στην Κ.Δ.Π. </w:t>
      </w:r>
      <w:r>
        <w:rPr>
          <w:rFonts w:ascii="Bookman Old Style" w:hAnsi="Bookman Old Style"/>
          <w:sz w:val="28"/>
          <w:szCs w:val="28"/>
          <w:lang w:val="el-GR"/>
        </w:rPr>
        <w:t xml:space="preserve">δεν αποκαλύπτει οτιδήποτε το συζητήσιμο </w:t>
      </w:r>
      <w:r w:rsidR="00F82F4C">
        <w:rPr>
          <w:rFonts w:ascii="Bookman Old Style" w:hAnsi="Bookman Old Style"/>
          <w:sz w:val="28"/>
          <w:szCs w:val="28"/>
          <w:lang w:val="el-GR"/>
        </w:rPr>
        <w:t>το οποίο επηρεάζει τη νομιμότητα του</w:t>
      </w:r>
      <w:r>
        <w:rPr>
          <w:rFonts w:ascii="Bookman Old Style" w:hAnsi="Bookman Old Style"/>
          <w:sz w:val="28"/>
          <w:szCs w:val="28"/>
          <w:lang w:val="el-GR"/>
        </w:rPr>
        <w:t xml:space="preserve"> εκδοθέν</w:t>
      </w:r>
      <w:r w:rsidR="00F82F4C">
        <w:rPr>
          <w:rFonts w:ascii="Bookman Old Style" w:hAnsi="Bookman Old Style"/>
          <w:sz w:val="28"/>
          <w:szCs w:val="28"/>
          <w:lang w:val="el-GR"/>
        </w:rPr>
        <w:t>τος</w:t>
      </w:r>
      <w:r w:rsidR="00AA3F15">
        <w:rPr>
          <w:rFonts w:ascii="Bookman Old Style" w:hAnsi="Bookman Old Style"/>
          <w:sz w:val="28"/>
          <w:szCs w:val="28"/>
          <w:lang w:val="el-GR"/>
        </w:rPr>
        <w:t xml:space="preserve"> </w:t>
      </w:r>
      <w:r w:rsidR="00F82F4C">
        <w:rPr>
          <w:rFonts w:ascii="Bookman Old Style" w:hAnsi="Bookman Old Style"/>
          <w:sz w:val="28"/>
          <w:szCs w:val="28"/>
          <w:lang w:val="el-GR"/>
        </w:rPr>
        <w:t>διατάγματος</w:t>
      </w:r>
      <w:r>
        <w:rPr>
          <w:rFonts w:ascii="Bookman Old Style" w:hAnsi="Bookman Old Style"/>
          <w:sz w:val="28"/>
          <w:szCs w:val="28"/>
          <w:lang w:val="el-GR"/>
        </w:rPr>
        <w:t xml:space="preserve">. </w:t>
      </w:r>
    </w:p>
    <w:p w14:paraId="3CD9F13F" w14:textId="77777777" w:rsidR="001616E2" w:rsidRDefault="001616E2" w:rsidP="009F6B85">
      <w:pPr>
        <w:spacing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 βάση όσα αναφέρονται ανωτέρω ικανοποιούμαι ότι ο Αιτητής έχει καταδείξει συζητήσιμη υπόθεση μόνο αναφορικά με τον λόγο που αφορά στον </w:t>
      </w:r>
      <w:r w:rsidRPr="001616E2">
        <w:rPr>
          <w:rFonts w:ascii="Bookman Old Style" w:hAnsi="Bookman Old Style"/>
          <w:b/>
          <w:bCs/>
          <w:i/>
          <w:iCs/>
          <w:sz w:val="28"/>
          <w:szCs w:val="28"/>
          <w:lang w:val="el-GR"/>
        </w:rPr>
        <w:t>Ν.183(Ι)/2007</w:t>
      </w:r>
      <w:r>
        <w:rPr>
          <w:rFonts w:ascii="Bookman Old Style" w:hAnsi="Bookman Old Style"/>
          <w:sz w:val="28"/>
          <w:szCs w:val="28"/>
          <w:lang w:val="el-GR"/>
        </w:rPr>
        <w:t xml:space="preserve">, ως εξηγείται ανωτέρω. </w:t>
      </w:r>
    </w:p>
    <w:p w14:paraId="7E6B313C" w14:textId="6A49704F" w:rsidR="00250D75" w:rsidRPr="0055362D" w:rsidRDefault="001616E2"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sz w:val="28"/>
          <w:szCs w:val="28"/>
          <w:lang w:val="el-GR"/>
        </w:rPr>
        <w:lastRenderedPageBreak/>
        <w:t xml:space="preserve">Ως εκ τούτου παρέχεται άδεια </w:t>
      </w:r>
      <w:r w:rsidR="00250D75">
        <w:rPr>
          <w:rFonts w:ascii="Bookman Old Style" w:hAnsi="Bookman Old Style"/>
          <w:color w:val="000000"/>
          <w:sz w:val="28"/>
          <w:szCs w:val="28"/>
          <w:lang w:val="el-GR"/>
        </w:rPr>
        <w:t xml:space="preserve">στον Αιτητή να καταχωρίσει δια κλήσεως αίτηση για την έκδοση προνομιακού εντάλματος </w:t>
      </w:r>
      <w:r w:rsidR="00250D75">
        <w:rPr>
          <w:rFonts w:ascii="Bookman Old Style" w:hAnsi="Bookman Old Style"/>
          <w:color w:val="000000"/>
          <w:sz w:val="28"/>
          <w:szCs w:val="28"/>
          <w:lang w:val="en-GB"/>
        </w:rPr>
        <w:t>Certiorari</w:t>
      </w:r>
      <w:r w:rsidR="00250D75" w:rsidRPr="00EE126A">
        <w:rPr>
          <w:rFonts w:ascii="Bookman Old Style" w:hAnsi="Bookman Old Style"/>
          <w:color w:val="000000"/>
          <w:sz w:val="28"/>
          <w:szCs w:val="28"/>
          <w:lang w:val="el-GR"/>
        </w:rPr>
        <w:t xml:space="preserve"> </w:t>
      </w:r>
      <w:r w:rsidR="00250D75">
        <w:rPr>
          <w:rFonts w:ascii="Bookman Old Style" w:hAnsi="Bookman Old Style"/>
          <w:color w:val="000000"/>
          <w:sz w:val="28"/>
          <w:szCs w:val="28"/>
          <w:lang w:val="el-GR"/>
        </w:rPr>
        <w:t xml:space="preserve">αναφορικά μόνο με τον λόγο Δ. Η αίτηση να καταχωριστεί σε πέντε μέρες και να επιδοθεί στον Γενικό Εισαγγελέα τουλάχιστον τρεις μέρες πριν τη δικάσιμο. Εφόσον καταχωριστεί, η Πρωτοκολλητής να την ορίσει στις </w:t>
      </w:r>
      <w:r w:rsidR="002127F2">
        <w:rPr>
          <w:rFonts w:ascii="Bookman Old Style" w:hAnsi="Bookman Old Style"/>
          <w:color w:val="000000"/>
          <w:sz w:val="28"/>
          <w:szCs w:val="28"/>
          <w:lang w:val="el-GR"/>
        </w:rPr>
        <w:t>4.3.</w:t>
      </w:r>
      <w:r w:rsidR="00250D75">
        <w:rPr>
          <w:rFonts w:ascii="Bookman Old Style" w:hAnsi="Bookman Old Style"/>
          <w:color w:val="000000"/>
          <w:sz w:val="28"/>
          <w:szCs w:val="28"/>
          <w:lang w:val="el-GR"/>
        </w:rPr>
        <w:t>24 στις 0</w:t>
      </w:r>
      <w:r w:rsidR="00DF236A">
        <w:rPr>
          <w:rFonts w:ascii="Bookman Old Style" w:hAnsi="Bookman Old Style"/>
          <w:color w:val="000000"/>
          <w:sz w:val="28"/>
          <w:szCs w:val="28"/>
          <w:lang w:val="el-GR"/>
        </w:rPr>
        <w:t>8</w:t>
      </w:r>
      <w:r w:rsidR="00250D75" w:rsidRPr="0055362D">
        <w:rPr>
          <w:rFonts w:ascii="Bookman Old Style" w:hAnsi="Bookman Old Style"/>
          <w:color w:val="000000"/>
          <w:sz w:val="28"/>
          <w:szCs w:val="28"/>
          <w:lang w:val="el-GR"/>
        </w:rPr>
        <w:t>:</w:t>
      </w:r>
      <w:r w:rsidR="00DF236A">
        <w:rPr>
          <w:rFonts w:ascii="Bookman Old Style" w:hAnsi="Bookman Old Style"/>
          <w:color w:val="000000"/>
          <w:sz w:val="28"/>
          <w:szCs w:val="28"/>
          <w:lang w:val="el-GR"/>
        </w:rPr>
        <w:t>3</w:t>
      </w:r>
      <w:r w:rsidR="00250D75" w:rsidRPr="0055362D">
        <w:rPr>
          <w:rFonts w:ascii="Bookman Old Style" w:hAnsi="Bookman Old Style"/>
          <w:color w:val="000000"/>
          <w:sz w:val="28"/>
          <w:szCs w:val="28"/>
          <w:lang w:val="el-GR"/>
        </w:rPr>
        <w:t>0</w:t>
      </w:r>
      <w:r w:rsidR="00250D75" w:rsidRPr="00FC792B">
        <w:rPr>
          <w:rFonts w:ascii="Bookman Old Style" w:hAnsi="Bookman Old Style"/>
          <w:color w:val="000000"/>
          <w:sz w:val="28"/>
          <w:szCs w:val="28"/>
          <w:lang w:val="el-GR"/>
        </w:rPr>
        <w:t xml:space="preserve"> </w:t>
      </w:r>
      <w:r w:rsidR="00250D75">
        <w:rPr>
          <w:rFonts w:ascii="Bookman Old Style" w:hAnsi="Bookman Old Style"/>
          <w:color w:val="000000"/>
          <w:sz w:val="28"/>
          <w:szCs w:val="28"/>
          <w:lang w:val="el-GR"/>
        </w:rPr>
        <w:t>για οδηγίες</w:t>
      </w:r>
      <w:r w:rsidR="00250D75" w:rsidRPr="0055362D">
        <w:rPr>
          <w:rFonts w:ascii="Bookman Old Style" w:hAnsi="Bookman Old Style"/>
          <w:color w:val="000000"/>
          <w:sz w:val="28"/>
          <w:szCs w:val="28"/>
          <w:lang w:val="el-GR"/>
        </w:rPr>
        <w:t xml:space="preserve">. </w:t>
      </w:r>
    </w:p>
    <w:p w14:paraId="714CC7D9" w14:textId="65209480" w:rsidR="00250D75" w:rsidRDefault="00250D7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Η Αίτηση ως προς τους υπόλοιπους λόγους απορρίπτεται. </w:t>
      </w:r>
    </w:p>
    <w:p w14:paraId="17185796" w14:textId="2DEDDCF9" w:rsidR="00545EF2" w:rsidRDefault="00250D7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 xml:space="preserve">Τα έξοδα της Αίτησης θα είναι έξοδα στην πορεία της δια κλήσεως αίτησης. </w:t>
      </w:r>
    </w:p>
    <w:p w14:paraId="03D4AFBE" w14:textId="77777777" w:rsidR="009F6B85" w:rsidRDefault="009F6B8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p>
    <w:p w14:paraId="300C494F" w14:textId="77777777" w:rsidR="009F6B85" w:rsidRDefault="009F6B8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p>
    <w:p w14:paraId="5CE9A1A7" w14:textId="00E746B6" w:rsidR="009F6B85" w:rsidRDefault="009F6B8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r>
      <w:r>
        <w:rPr>
          <w:rFonts w:ascii="Bookman Old Style" w:hAnsi="Bookman Old Style"/>
          <w:color w:val="000000"/>
          <w:sz w:val="28"/>
          <w:szCs w:val="28"/>
          <w:lang w:val="el-GR"/>
        </w:rPr>
        <w:tab/>
        <w:t>Ε. ΕΦΡΑΙΜ, Δ.</w:t>
      </w:r>
    </w:p>
    <w:p w14:paraId="5FFDA863" w14:textId="77777777" w:rsidR="009F6B85" w:rsidRDefault="009F6B85" w:rsidP="008835BF">
      <w:pPr>
        <w:tabs>
          <w:tab w:val="left" w:pos="567"/>
          <w:tab w:val="left" w:pos="720"/>
          <w:tab w:val="left" w:pos="990"/>
        </w:tabs>
        <w:spacing w:after="100" w:afterAutospacing="1" w:line="480" w:lineRule="auto"/>
        <w:jc w:val="both"/>
        <w:rPr>
          <w:rFonts w:ascii="Bookman Old Style" w:hAnsi="Bookman Old Style"/>
          <w:color w:val="000000"/>
          <w:sz w:val="28"/>
          <w:szCs w:val="28"/>
          <w:lang w:val="el-GR"/>
        </w:rPr>
      </w:pPr>
    </w:p>
    <w:p w14:paraId="1083F08A" w14:textId="77777777" w:rsidR="009F6B85" w:rsidRDefault="009F6B85" w:rsidP="009F6B85">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p>
    <w:p w14:paraId="270183CB" w14:textId="1FB69DF1" w:rsidR="009F6B85" w:rsidRPr="00DA4413" w:rsidRDefault="009F6B85" w:rsidP="008835BF">
      <w:pPr>
        <w:tabs>
          <w:tab w:val="left" w:pos="567"/>
          <w:tab w:val="left" w:pos="720"/>
          <w:tab w:val="left" w:pos="990"/>
        </w:tabs>
        <w:spacing w:after="100" w:afterAutospacing="1" w:line="480" w:lineRule="auto"/>
        <w:ind w:firstLine="567"/>
        <w:jc w:val="both"/>
        <w:rPr>
          <w:rFonts w:ascii="Bookman Old Style" w:hAnsi="Bookman Old Style"/>
          <w:color w:val="000000"/>
          <w:sz w:val="28"/>
          <w:szCs w:val="28"/>
          <w:lang w:val="el-GR"/>
        </w:rPr>
      </w:pPr>
      <w:r>
        <w:rPr>
          <w:rFonts w:ascii="Bookman Old Style" w:hAnsi="Bookman Old Style"/>
          <w:color w:val="000000"/>
          <w:sz w:val="28"/>
          <w:szCs w:val="28"/>
          <w:lang w:val="el-GR"/>
        </w:rPr>
        <w:t>/</w:t>
      </w:r>
      <w:proofErr w:type="spellStart"/>
      <w:r>
        <w:rPr>
          <w:rFonts w:ascii="Bookman Old Style" w:hAnsi="Bookman Old Style"/>
          <w:color w:val="000000"/>
          <w:sz w:val="28"/>
          <w:szCs w:val="28"/>
          <w:lang w:val="el-GR"/>
        </w:rPr>
        <w:t>κβπ</w:t>
      </w:r>
      <w:proofErr w:type="spellEnd"/>
    </w:p>
    <w:sectPr w:rsidR="009F6B85" w:rsidRPr="00DA4413" w:rsidSect="004E4AE6">
      <w:headerReference w:type="default" r:id="rId7"/>
      <w:pgSz w:w="12240" w:h="15840"/>
      <w:pgMar w:top="1440" w:right="1325"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3B52" w14:textId="77777777" w:rsidR="004E4AE6" w:rsidRDefault="004E4AE6" w:rsidP="00545EF2">
      <w:pPr>
        <w:spacing w:after="0" w:line="240" w:lineRule="auto"/>
      </w:pPr>
      <w:r>
        <w:separator/>
      </w:r>
    </w:p>
  </w:endnote>
  <w:endnote w:type="continuationSeparator" w:id="0">
    <w:p w14:paraId="644226B1" w14:textId="77777777" w:rsidR="004E4AE6" w:rsidRDefault="004E4AE6" w:rsidP="00545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C5F99" w14:textId="77777777" w:rsidR="004E4AE6" w:rsidRDefault="004E4AE6" w:rsidP="00545EF2">
      <w:pPr>
        <w:spacing w:after="0" w:line="240" w:lineRule="auto"/>
      </w:pPr>
      <w:r>
        <w:separator/>
      </w:r>
    </w:p>
  </w:footnote>
  <w:footnote w:type="continuationSeparator" w:id="0">
    <w:p w14:paraId="18DDED24" w14:textId="77777777" w:rsidR="004E4AE6" w:rsidRDefault="004E4AE6" w:rsidP="00545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491855"/>
      <w:docPartObj>
        <w:docPartGallery w:val="Page Numbers (Top of Page)"/>
        <w:docPartUnique/>
      </w:docPartObj>
    </w:sdtPr>
    <w:sdtEndPr>
      <w:rPr>
        <w:noProof/>
      </w:rPr>
    </w:sdtEndPr>
    <w:sdtContent>
      <w:p w14:paraId="1D1A4019" w14:textId="304FA6C5" w:rsidR="00545EF2" w:rsidRDefault="00545EF2">
        <w:pPr>
          <w:pStyle w:val="Header"/>
          <w:jc w:val="center"/>
        </w:pPr>
        <w:r>
          <w:fldChar w:fldCharType="begin"/>
        </w:r>
        <w:r>
          <w:instrText xml:space="preserve"> PAGE   \* MERGEFORMAT </w:instrText>
        </w:r>
        <w:r>
          <w:fldChar w:fldCharType="separate"/>
        </w:r>
        <w:r w:rsidR="005F7233">
          <w:rPr>
            <w:noProof/>
          </w:rPr>
          <w:t>14</w:t>
        </w:r>
        <w:r>
          <w:rPr>
            <w:noProof/>
          </w:rPr>
          <w:fldChar w:fldCharType="end"/>
        </w:r>
      </w:p>
    </w:sdtContent>
  </w:sdt>
  <w:p w14:paraId="1ED2B209" w14:textId="77777777" w:rsidR="00545EF2" w:rsidRDefault="00545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E0D36"/>
    <w:multiLevelType w:val="hybridMultilevel"/>
    <w:tmpl w:val="E32A4606"/>
    <w:lvl w:ilvl="0" w:tplc="5776CB9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CD9684C"/>
    <w:multiLevelType w:val="hybridMultilevel"/>
    <w:tmpl w:val="F0FEC738"/>
    <w:lvl w:ilvl="0" w:tplc="5776CB94">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3307475">
    <w:abstractNumId w:val="0"/>
  </w:num>
  <w:num w:numId="2" w16cid:durableId="1658529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EF2"/>
    <w:rsid w:val="00075F6A"/>
    <w:rsid w:val="000D0EAA"/>
    <w:rsid w:val="000D5E5C"/>
    <w:rsid w:val="000F358D"/>
    <w:rsid w:val="000F6A5F"/>
    <w:rsid w:val="00105EDB"/>
    <w:rsid w:val="00107665"/>
    <w:rsid w:val="001616E2"/>
    <w:rsid w:val="001722E3"/>
    <w:rsid w:val="00176C11"/>
    <w:rsid w:val="001F4A8A"/>
    <w:rsid w:val="001F7227"/>
    <w:rsid w:val="002127F2"/>
    <w:rsid w:val="00223B06"/>
    <w:rsid w:val="00250D75"/>
    <w:rsid w:val="00281684"/>
    <w:rsid w:val="002944B8"/>
    <w:rsid w:val="002D291B"/>
    <w:rsid w:val="00370B35"/>
    <w:rsid w:val="00392EE0"/>
    <w:rsid w:val="003A5A94"/>
    <w:rsid w:val="003E3C30"/>
    <w:rsid w:val="00416CE6"/>
    <w:rsid w:val="00454B0F"/>
    <w:rsid w:val="00465BE0"/>
    <w:rsid w:val="00494F3E"/>
    <w:rsid w:val="004E4AE6"/>
    <w:rsid w:val="004F1C86"/>
    <w:rsid w:val="005022B0"/>
    <w:rsid w:val="005023FA"/>
    <w:rsid w:val="00515327"/>
    <w:rsid w:val="00537A96"/>
    <w:rsid w:val="005419C8"/>
    <w:rsid w:val="00545EF2"/>
    <w:rsid w:val="005544DB"/>
    <w:rsid w:val="0055452D"/>
    <w:rsid w:val="00563407"/>
    <w:rsid w:val="00594D0B"/>
    <w:rsid w:val="005B408F"/>
    <w:rsid w:val="005E4195"/>
    <w:rsid w:val="005F7233"/>
    <w:rsid w:val="006053BD"/>
    <w:rsid w:val="0061059D"/>
    <w:rsid w:val="00652E38"/>
    <w:rsid w:val="0068474D"/>
    <w:rsid w:val="006D12A2"/>
    <w:rsid w:val="00731F82"/>
    <w:rsid w:val="0076331E"/>
    <w:rsid w:val="007B083D"/>
    <w:rsid w:val="007C5CB8"/>
    <w:rsid w:val="007E432C"/>
    <w:rsid w:val="00832BFC"/>
    <w:rsid w:val="00843114"/>
    <w:rsid w:val="00865009"/>
    <w:rsid w:val="008835BF"/>
    <w:rsid w:val="0088780D"/>
    <w:rsid w:val="00935521"/>
    <w:rsid w:val="00962831"/>
    <w:rsid w:val="00982C0E"/>
    <w:rsid w:val="009D2684"/>
    <w:rsid w:val="009F6B85"/>
    <w:rsid w:val="00A714D7"/>
    <w:rsid w:val="00A81589"/>
    <w:rsid w:val="00AA1A1F"/>
    <w:rsid w:val="00AA3F15"/>
    <w:rsid w:val="00AB3B1B"/>
    <w:rsid w:val="00AC6A33"/>
    <w:rsid w:val="00AD7661"/>
    <w:rsid w:val="00B0520E"/>
    <w:rsid w:val="00B65ADB"/>
    <w:rsid w:val="00BD214E"/>
    <w:rsid w:val="00BD40D0"/>
    <w:rsid w:val="00C14B5E"/>
    <w:rsid w:val="00C14F72"/>
    <w:rsid w:val="00C71062"/>
    <w:rsid w:val="00C73290"/>
    <w:rsid w:val="00C92FFB"/>
    <w:rsid w:val="00CA4848"/>
    <w:rsid w:val="00CF77AA"/>
    <w:rsid w:val="00D367D0"/>
    <w:rsid w:val="00D67CD4"/>
    <w:rsid w:val="00D84AC7"/>
    <w:rsid w:val="00DA4413"/>
    <w:rsid w:val="00DF03E0"/>
    <w:rsid w:val="00DF236A"/>
    <w:rsid w:val="00E57487"/>
    <w:rsid w:val="00E86A02"/>
    <w:rsid w:val="00E9321F"/>
    <w:rsid w:val="00EA0936"/>
    <w:rsid w:val="00F0622B"/>
    <w:rsid w:val="00F13363"/>
    <w:rsid w:val="00F52D78"/>
    <w:rsid w:val="00F63B0B"/>
    <w:rsid w:val="00F758A6"/>
    <w:rsid w:val="00F82F4C"/>
    <w:rsid w:val="00F9260D"/>
    <w:rsid w:val="00FC48F7"/>
    <w:rsid w:val="00FD17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4833"/>
  <w15:chartTrackingRefBased/>
  <w15:docId w15:val="{7E18A9C7-A2DA-4969-A2A1-E4813C6D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661"/>
  </w:style>
  <w:style w:type="paragraph" w:styleId="Heading1">
    <w:name w:val="heading 1"/>
    <w:basedOn w:val="Normal"/>
    <w:next w:val="Normal"/>
    <w:link w:val="Heading1Char"/>
    <w:uiPriority w:val="9"/>
    <w:qFormat/>
    <w:rsid w:val="00AD76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6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D7661"/>
    <w:pPr>
      <w:ind w:left="720"/>
      <w:contextualSpacing/>
    </w:pPr>
  </w:style>
  <w:style w:type="paragraph" w:styleId="TOCHeading">
    <w:name w:val="TOC Heading"/>
    <w:basedOn w:val="Heading1"/>
    <w:next w:val="Normal"/>
    <w:uiPriority w:val="39"/>
    <w:unhideWhenUsed/>
    <w:qFormat/>
    <w:rsid w:val="00AD7661"/>
    <w:pPr>
      <w:outlineLvl w:val="9"/>
    </w:pPr>
    <w:rPr>
      <w:kern w:val="0"/>
      <w14:ligatures w14:val="none"/>
    </w:rPr>
  </w:style>
  <w:style w:type="paragraph" w:styleId="Header">
    <w:name w:val="header"/>
    <w:basedOn w:val="Normal"/>
    <w:link w:val="HeaderChar"/>
    <w:uiPriority w:val="99"/>
    <w:unhideWhenUsed/>
    <w:rsid w:val="00545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EF2"/>
  </w:style>
  <w:style w:type="paragraph" w:styleId="Footer">
    <w:name w:val="footer"/>
    <w:basedOn w:val="Normal"/>
    <w:link w:val="FooterChar"/>
    <w:uiPriority w:val="99"/>
    <w:unhideWhenUsed/>
    <w:rsid w:val="00545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EF2"/>
  </w:style>
  <w:style w:type="character" w:customStyle="1" w:styleId="a">
    <w:name w:val="Σώμα κειμένου_"/>
    <w:basedOn w:val="DefaultParagraphFont"/>
    <w:link w:val="a0"/>
    <w:rsid w:val="009F6B85"/>
    <w:rPr>
      <w:rFonts w:ascii="Bookman Old Style" w:eastAsia="Bookman Old Style" w:hAnsi="Bookman Old Style" w:cs="Bookman Old Style"/>
      <w:sz w:val="20"/>
      <w:szCs w:val="20"/>
    </w:rPr>
  </w:style>
  <w:style w:type="paragraph" w:customStyle="1" w:styleId="a0">
    <w:name w:val="Σώμα κειμένου"/>
    <w:basedOn w:val="Normal"/>
    <w:link w:val="a"/>
    <w:rsid w:val="009F6B85"/>
    <w:pPr>
      <w:widowControl w:val="0"/>
      <w:spacing w:after="140" w:line="302" w:lineRule="auto"/>
    </w:pPr>
    <w:rPr>
      <w:rFonts w:ascii="Bookman Old Style" w:eastAsia="Bookman Old Style" w:hAnsi="Bookman Old Style" w:cs="Bookman Old Styl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14</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Demosthenous  Pinelopi</cp:lastModifiedBy>
  <cp:revision>3</cp:revision>
  <cp:lastPrinted>2024-02-16T06:49:00Z</cp:lastPrinted>
  <dcterms:created xsi:type="dcterms:W3CDTF">2024-02-28T09:14:00Z</dcterms:created>
  <dcterms:modified xsi:type="dcterms:W3CDTF">2024-02-29T10:15:00Z</dcterms:modified>
</cp:coreProperties>
</file>